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4500"/>
        <w:gridCol w:w="2250"/>
        <w:gridCol w:w="2250"/>
      </w:tblGrid>
      <w:tr>
        <w:tc>
          <w:tcPr>
            <w:tcW w:type="dxa" w:w="4500"/>
            <w:vAlign w:val="center"/>
          </w:tcPr>
          <w:p>
            <w:pPr>
              <w:jc w:val="left"/>
            </w:pPr>
            <w:r>
              <w:rPr>
                <w:rFonts w:ascii="Calibri" w:cs="Calibri" w:eastAsia="Calibri" w:hAnsi="Calibri"/>
                <w:b/>
                <w:bCs/>
                <w:color w:val="000000"/>
                <w:sz w:val="22"/>
                <w:szCs w:val="22"/>
              </w:rPr>
              <w:t xml:space="preserve">Group Policy &amp; Procedure</w:t>
            </w:r>
          </w:p>
        </w:tc>
        <w:tc>
          <w:tcPr>
            <w:tcW w:type="dxa" w:w="2250"/>
            <w:vAlign w:val="center"/>
          </w:tcPr>
          <w:p>
            <w:pPr>
              <w:jc w:val="left"/>
            </w:pPr>
            <w:r>
              <w:rPr>
                <w:rFonts w:ascii="Calibri" w:cs="Calibri" w:eastAsia="Calibri" w:hAnsi="Calibri"/>
                <w:b/>
                <w:bCs/>
                <w:color w:val="000000"/>
                <w:sz w:val="22"/>
                <w:szCs w:val="22"/>
              </w:rPr>
              <w:t xml:space="preserve">Document No.</w:t>
            </w:r>
          </w:p>
        </w:tc>
        <w:tc>
          <w:tcPr>
            <w:tcW w:type="dxa" w:w="2250"/>
            <w:vAlign w:val="center"/>
          </w:tcPr>
          <w:p>
            <w:pPr>
              <w:jc w:val="left"/>
            </w:pPr>
            <w:r>
              <w:rPr>
                <w:rFonts w:ascii="Calibri" w:cs="Calibri" w:eastAsia="Calibri" w:hAnsi="Calibri"/>
                <w:b/>
                <w:bCs/>
                <w:color w:val="000000"/>
                <w:sz w:val="22"/>
                <w:szCs w:val="22"/>
              </w:rPr>
              <w:t xml:space="preserve">P-POL-032</w:t>
            </w:r>
          </w:p>
        </w:tc>
      </w:tr>
      <w:tr>
        <w:tc>
          <w:tcPr>
            <w:tcW w:type="dxa" w:w="4500"/>
            <w:vAlign w:val="center"/>
          </w:tcPr>
          <w:p>
            <w:pPr>
              <w:jc w:val="left"/>
            </w:pPr>
            <w:r>
              <w:rPr>
                <w:rFonts w:ascii="Calibri" w:cs="Calibri" w:eastAsia="Calibri" w:hAnsi="Calibri"/>
                <w:b/>
                <w:bCs/>
                <w:color w:val="000000"/>
                <w:sz w:val="22"/>
                <w:szCs w:val="22"/>
              </w:rPr>
              <w:t xml:space="preserve">Group Supply Chain</w:t>
            </w:r>
          </w:p>
        </w:tc>
        <w:tc>
          <w:tcPr>
            <w:tcW w:type="dxa" w:w="2250"/>
            <w:vAlign w:val="center"/>
          </w:tcPr>
          <w:p>
            <w:pPr>
              <w:jc w:val="left"/>
            </w:pPr>
            <w:r>
              <w:rPr>
                <w:rFonts w:ascii="Calibri" w:cs="Calibri" w:eastAsia="Calibri" w:hAnsi="Calibri"/>
                <w:b/>
                <w:bCs/>
                <w:color w:val="000000"/>
                <w:sz w:val="22"/>
                <w:szCs w:val="22"/>
              </w:rPr>
              <w:t xml:space="preserve">Ver. No. | Rev Date</w:t>
            </w:r>
          </w:p>
        </w:tc>
        <w:tc>
          <w:tcPr>
            <w:tcW w:type="dxa" w:w="2250"/>
            <w:vAlign w:val="center"/>
          </w:tcPr>
          <w:p>
            <w:pPr>
              <w:jc w:val="left"/>
            </w:pPr>
            <w:r>
              <w:rPr>
                <w:rFonts w:ascii="Calibri" w:cs="Calibri" w:eastAsia="Calibri" w:hAnsi="Calibri"/>
                <w:b w:val="false"/>
                <w:bCs w:val="false"/>
                <w:color w:val="000000"/>
                <w:sz w:val="22"/>
                <w:szCs w:val="22"/>
              </w:rPr>
              <w:t xml:space="preserve">0.1 | 21 AUG 2026</w:t>
            </w:r>
          </w:p>
        </w:tc>
      </w:tr>
      <w:tr>
        <w:tc>
          <w:tcPr>
            <w:tcW w:type="dxa" w:w="4500"/>
            <w:vAlign w:val="center"/>
          </w:tcPr>
          <w:p>
            <w:pPr>
              <w:jc w:val="left"/>
            </w:pPr>
            <w:r>
              <w:rPr>
                <w:rFonts w:ascii="Calibri" w:cs="Calibri" w:eastAsia="Calibri" w:hAnsi="Calibri"/>
                <w:b/>
                <w:bCs/>
                <w:color w:val="000000"/>
                <w:sz w:val="22"/>
                <w:szCs w:val="22"/>
              </w:rPr>
              <w:t xml:space="preserve">Title: Input Tax Credit (ITC) Verification Compliance</w:t>
            </w:r>
          </w:p>
        </w:tc>
        <w:tc>
          <w:tcPr>
            <w:tcW w:type="dxa" w:w="2250"/>
            <w:vAlign w:val="center"/>
          </w:tcPr>
          <w:p>
            <w:pPr>
              <w:jc w:val="left"/>
            </w:pPr>
            <w:r>
              <w:rPr>
                <w:rFonts w:ascii="Calibri" w:cs="Calibri" w:eastAsia="Calibri" w:hAnsi="Calibri"/>
                <w:b/>
                <w:bCs/>
                <w:color w:val="000000"/>
                <w:sz w:val="22"/>
                <w:szCs w:val="22"/>
              </w:rPr>
              <w:t xml:space="preserve">Effective Date</w:t>
            </w:r>
          </w:p>
        </w:tc>
        <w:tc>
          <w:tcPr>
            <w:tcW w:type="dxa" w:w="2250"/>
            <w:vAlign w:val="center"/>
          </w:tcPr>
          <w:p>
            <w:pPr>
              <w:jc w:val="left"/>
            </w:pPr>
            <w:r>
              <w:rPr>
                <w:rFonts w:ascii="Calibri" w:cs="Calibri" w:eastAsia="Calibri" w:hAnsi="Calibri"/>
                <w:b w:val="false"/>
                <w:bCs w:val="false"/>
                <w:color w:val="000000"/>
                <w:sz w:val="22"/>
                <w:szCs w:val="22"/>
              </w:rPr>
              <w:t xml:space="preserve">1 October 2026</w:t>
            </w:r>
          </w:p>
        </w:tc>
      </w:tr>
    </w:tbl>
    <w:p>
      <w:pPr>
        <w:spacing w:after="120"/>
        <w:jc w:val="left"/>
      </w:pPr>
      <w:r>
        <w:rPr>
          <w:rFonts w:ascii="Calibri" w:cs="Calibri" w:eastAsia="Calibri" w:hAnsi="Calibri"/>
          <w:sz w:val="22"/>
          <w:szCs w:val="22"/>
        </w:rPr>
        <w:t xml:space="preserve"/>
      </w:r>
    </w:p>
    <w:p>
      <w:pPr>
        <w:spacing w:after="120"/>
        <w:jc w:val="center"/>
      </w:pPr>
      <w:r>
        <w:rPr>
          <w:rFonts w:ascii="Calibri" w:cs="Calibri" w:eastAsia="Calibri" w:hAnsi="Calibri"/>
          <w:b/>
          <w:bCs/>
          <w:color w:val="1F4E79"/>
          <w:sz w:val="32"/>
          <w:szCs w:val="32"/>
        </w:rPr>
        <w:t xml:space="preserve">BUKHATIR GROUP</w:t>
      </w:r>
    </w:p>
    <w:p>
      <w:pPr>
        <w:spacing w:after="120"/>
        <w:jc w:val="center"/>
      </w:pPr>
      <w:r>
        <w:rPr>
          <w:rFonts w:ascii="Calibri" w:cs="Calibri" w:eastAsia="Calibri" w:hAnsi="Calibri"/>
          <w:i/>
          <w:iCs/>
          <w:sz w:val="24"/>
          <w:szCs w:val="24"/>
        </w:rPr>
        <w:t xml:space="preserve">Strength through Diversity</w:t>
      </w:r>
    </w:p>
    <w:p>
      <w:pPr>
        <w:spacing w:after="120"/>
        <w:jc w:val="left"/>
      </w:pPr>
      <w:r>
        <w:rPr>
          <w:rFonts w:ascii="Calibri" w:cs="Calibri" w:eastAsia="Calibri" w:hAnsi="Calibri"/>
          <w:sz w:val="22"/>
          <w:szCs w:val="22"/>
        </w:rPr>
        <w:t xml:space="preserve"/>
      </w:r>
    </w:p>
    <w:p>
      <w:pPr>
        <w:spacing w:after="120"/>
        <w:jc w:val="center"/>
      </w:pPr>
      <w:r>
        <w:rPr>
          <w:rFonts w:ascii="Calibri" w:cs="Calibri" w:eastAsia="Calibri" w:hAnsi="Calibri"/>
          <w:b/>
          <w:bCs/>
          <w:sz w:val="28"/>
          <w:szCs w:val="28"/>
        </w:rPr>
        <w:t xml:space="preserve">Group Policy and Procedure</w:t>
      </w:r>
    </w:p>
    <w:p>
      <w:pPr>
        <w:spacing w:after="120"/>
        <w:jc w:val="center"/>
      </w:pPr>
      <w:r>
        <w:rPr>
          <w:rFonts w:ascii="Calibri" w:cs="Calibri" w:eastAsia="Calibri" w:hAnsi="Calibri"/>
          <w:sz w:val="24"/>
          <w:szCs w:val="24"/>
        </w:rPr>
        <w:t xml:space="preserve">Group Supply Chain (GSC)</w:t>
      </w:r>
    </w:p>
    <w:p>
      <w:pPr>
        <w:spacing w:after="120"/>
        <w:jc w:val="left"/>
      </w:pPr>
      <w:r>
        <w:rPr>
          <w:rFonts w:ascii="Calibri" w:cs="Calibri" w:eastAsia="Calibri" w:hAnsi="Calibri"/>
          <w:sz w:val="22"/>
          <w:szCs w:val="22"/>
        </w:rPr>
        <w:t xml:space="preserve"/>
      </w:r>
    </w:p>
    <w:p>
      <w:pPr>
        <w:spacing w:after="120"/>
        <w:jc w:val="center"/>
      </w:pPr>
      <w:r>
        <w:rPr>
          <w:rFonts w:ascii="Calibri" w:cs="Calibri" w:eastAsia="Calibri" w:hAnsi="Calibri"/>
          <w:b/>
          <w:bCs/>
          <w:color w:val="1F4E79"/>
          <w:sz w:val="28"/>
          <w:szCs w:val="28"/>
        </w:rPr>
        <w:t xml:space="preserve">Input Tax Credit (ITC) Verification Compliance</w:t>
      </w:r>
    </w:p>
    <w:p>
      <w:pPr>
        <w:spacing w:after="120"/>
        <w:jc w:val="center"/>
      </w:pPr>
      <w:r>
        <w:rPr>
          <w:rFonts w:ascii="Calibri" w:cs="Calibri" w:eastAsia="Calibri" w:hAnsi="Calibri"/>
          <w:i/>
          <w:iCs/>
          <w:sz w:val="22"/>
          <w:szCs w:val="22"/>
        </w:rPr>
        <w:t xml:space="preserve">FTA Decision No. 13 of 2026 — Supplier &amp; Supply Verification</w:t>
      </w:r>
    </w:p>
    <w:p>
      <w:pPr>
        <w:spacing w:after="120"/>
        <w:jc w:val="left"/>
      </w:pPr>
      <w:r>
        <w:rPr>
          <w:rFonts w:ascii="Calibri" w:cs="Calibri" w:eastAsia="Calibri" w:hAnsi="Calibri"/>
          <w:sz w:val="22"/>
          <w:szCs w:val="22"/>
        </w:rPr>
        <w:t xml:space="preserve"/>
      </w:r>
    </w:p>
    <w:p>
      <w:pPr>
        <w:spacing w:after="120"/>
        <w:jc w:val="center"/>
      </w:pPr>
      <w:r>
        <w:rPr>
          <w:rFonts w:ascii="Calibri" w:cs="Calibri" w:eastAsia="Calibri" w:hAnsi="Calibri"/>
          <w:b/>
          <w:bCs/>
          <w:sz w:val="24"/>
          <w:szCs w:val="24"/>
        </w:rPr>
        <w:t xml:space="preserve">Document No: P-POL-032</w:t>
      </w:r>
    </w:p>
    <w:p>
      <w:pPr>
        <w:spacing w:after="120"/>
        <w:jc w:val="left"/>
      </w:pPr>
      <w:r>
        <w:rPr>
          <w:rFonts w:ascii="Calibri" w:cs="Calibri" w:eastAsia="Calibri" w:hAnsi="Calibri"/>
          <w:sz w:val="22"/>
          <w:szCs w:val="22"/>
        </w:rPr>
        <w:t xml:space="preserve"/>
      </w:r>
    </w:p>
    <w:p>
      <w:pPr>
        <w:spacing w:after="120"/>
        <w:jc w:val="center"/>
      </w:pPr>
      <w:r>
        <w:rPr>
          <w:rFonts w:ascii="Calibri" w:cs="Calibri" w:eastAsia="Calibri" w:hAnsi="Calibri"/>
          <w:sz w:val="20"/>
          <w:szCs w:val="20"/>
        </w:rPr>
        <w:t xml:space="preserve">Copyright © 2026 Bukhatir Group</w:t>
      </w:r>
    </w:p>
    <w:p>
      <w:r>
        <w:br w:type="page"/>
      </w:r>
    </w:p>
    <w:p>
      <w:pPr>
        <w:spacing w:after="120"/>
        <w:jc w:val="left"/>
      </w:pPr>
      <w:r>
        <w:rPr>
          <w:rFonts w:ascii="Calibri" w:cs="Calibri" w:eastAsia="Calibri" w:hAnsi="Calibri"/>
          <w:b/>
          <w:bCs/>
          <w:color w:val="1F4E79"/>
          <w:sz w:val="28"/>
          <w:szCs w:val="28"/>
        </w:rPr>
        <w:t xml:space="preserve">Revision Control</w:t>
      </w:r>
    </w:p>
    <w:p>
      <w:pPr>
        <w:spacing w:after="120"/>
        <w:jc w:val="left"/>
      </w:pPr>
      <w:r>
        <w:rPr>
          <w:rFonts w:ascii="Calibri" w:cs="Calibri" w:eastAsia="Calibri" w:hAnsi="Calibri"/>
          <w:sz w:val="22"/>
          <w:szCs w:val="22"/>
        </w:rPr>
        <w:t xml:space="preserve">This document is issued under the authority of Bukhatir Group and applies when carrying out the activities described. Revisions may be issued as necessary under the authority of the Group Head of Procurement. Revision history is recorded below with every revised policy.</w:t>
      </w:r>
    </w:p>
    <w:p>
      <w:pPr>
        <w:spacing w:after="120"/>
        <w:jc w:val="left"/>
      </w:pPr>
      <w:r>
        <w:rPr>
          <w:rFonts w:ascii="Calibri" w:cs="Calibri" w:eastAsia="Calibri" w:hAnsi="Calibri"/>
          <w:sz w:val="22"/>
          <w:szCs w:val="22"/>
        </w:rPr>
        <w:t xml:space="preserve"/>
      </w:r>
    </w:p>
    <w:p>
      <w:pPr>
        <w:spacing w:after="120"/>
        <w:jc w:val="left"/>
      </w:pPr>
      <w:r>
        <w:rPr>
          <w:rFonts w:ascii="Calibri" w:cs="Calibri" w:eastAsia="Calibri" w:hAnsi="Calibri"/>
          <w:b/>
          <w:bCs/>
          <w:color w:val="1F4E79"/>
          <w:sz w:val="24"/>
          <w:szCs w:val="24"/>
        </w:rPr>
        <w:t xml:space="preserve">Revision History</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5500"/>
      </w:tblGrid>
      <w:tr>
        <w:tc>
          <w:tcPr>
            <w:tcW w:type="dxa" w:w="1500"/>
            <w:shd w:fill="F2F2F2" w:val="clear"/>
            <w:vAlign w:val="center"/>
          </w:tcPr>
          <w:p>
            <w:pPr>
              <w:jc w:val="left"/>
            </w:pPr>
            <w:r>
              <w:rPr>
                <w:rFonts w:ascii="Calibri" w:cs="Calibri" w:eastAsia="Calibri" w:hAnsi="Calibri"/>
                <w:b/>
                <w:bCs/>
                <w:color w:val="000000"/>
                <w:sz w:val="22"/>
                <w:szCs w:val="22"/>
              </w:rPr>
              <w:t xml:space="preserve">Ver. No.</w:t>
            </w:r>
          </w:p>
        </w:tc>
        <w:tc>
          <w:tcPr>
            <w:tcW w:type="dxa" w:w="2000"/>
            <w:shd w:fill="F2F2F2" w:val="clear"/>
            <w:vAlign w:val="center"/>
          </w:tcPr>
          <w:p>
            <w:pPr>
              <w:jc w:val="left"/>
            </w:pPr>
            <w:r>
              <w:rPr>
                <w:rFonts w:ascii="Calibri" w:cs="Calibri" w:eastAsia="Calibri" w:hAnsi="Calibri"/>
                <w:b/>
                <w:bCs/>
                <w:color w:val="000000"/>
                <w:sz w:val="22"/>
                <w:szCs w:val="22"/>
              </w:rPr>
              <w:t xml:space="preserve">Effective Date</w:t>
            </w:r>
          </w:p>
        </w:tc>
        <w:tc>
          <w:tcPr>
            <w:tcW w:type="dxa" w:w="5500"/>
            <w:shd w:fill="F2F2F2" w:val="clear"/>
            <w:vAlign w:val="center"/>
          </w:tcPr>
          <w:p>
            <w:pPr>
              <w:jc w:val="left"/>
            </w:pPr>
            <w:r>
              <w:rPr>
                <w:rFonts w:ascii="Calibri" w:cs="Calibri" w:eastAsia="Calibri" w:hAnsi="Calibri"/>
                <w:b/>
                <w:bCs/>
                <w:color w:val="000000"/>
                <w:sz w:val="22"/>
                <w:szCs w:val="22"/>
              </w:rPr>
              <w:t xml:space="preserve">Description</w:t>
            </w:r>
          </w:p>
        </w:tc>
      </w:tr>
      <w:tr>
        <w:tc>
          <w:tcPr>
            <w:tcW w:type="dxa" w:w="1500"/>
            <w:vAlign w:val="center"/>
          </w:tcPr>
          <w:p>
            <w:pPr>
              <w:jc w:val="left"/>
            </w:pPr>
            <w:r>
              <w:rPr>
                <w:rFonts w:ascii="Calibri" w:cs="Calibri" w:eastAsia="Calibri" w:hAnsi="Calibri"/>
                <w:b w:val="false"/>
                <w:bCs w:val="false"/>
                <w:color w:val="000000"/>
                <w:sz w:val="22"/>
                <w:szCs w:val="22"/>
              </w:rPr>
              <w:t xml:space="preserve">0.1</w:t>
            </w:r>
          </w:p>
        </w:tc>
        <w:tc>
          <w:tcPr>
            <w:tcW w:type="dxa" w:w="2000"/>
            <w:vAlign w:val="center"/>
          </w:tcPr>
          <w:p>
            <w:pPr>
              <w:jc w:val="left"/>
            </w:pPr>
            <w:r>
              <w:rPr>
                <w:rFonts w:ascii="Calibri" w:cs="Calibri" w:eastAsia="Calibri" w:hAnsi="Calibri"/>
                <w:b w:val="false"/>
                <w:bCs w:val="false"/>
                <w:color w:val="000000"/>
                <w:sz w:val="22"/>
                <w:szCs w:val="22"/>
              </w:rPr>
              <w:t xml:space="preserve">01 October 2026</w:t>
            </w:r>
          </w:p>
        </w:tc>
        <w:tc>
          <w:tcPr>
            <w:tcW w:type="dxa" w:w="5500"/>
            <w:vAlign w:val="center"/>
          </w:tcPr>
          <w:p>
            <w:pPr>
              <w:jc w:val="left"/>
            </w:pPr>
            <w:r>
              <w:rPr>
                <w:rFonts w:ascii="Calibri" w:cs="Calibri" w:eastAsia="Calibri" w:hAnsi="Calibri"/>
                <w:b w:val="false"/>
                <w:bCs w:val="false"/>
                <w:color w:val="000000"/>
                <w:sz w:val="22"/>
                <w:szCs w:val="22"/>
              </w:rPr>
              <w:t xml:space="preserve">New policy — FTA Decision No. 13 of 2026 ITC verification compliance</w:t>
            </w:r>
          </w:p>
        </w:tc>
      </w:tr>
    </w:tbl>
    <w:p>
      <w:pPr>
        <w:spacing w:after="120"/>
        <w:jc w:val="left"/>
      </w:pPr>
      <w:r>
        <w:rPr>
          <w:rFonts w:ascii="Calibri" w:cs="Calibri" w:eastAsia="Calibri" w:hAnsi="Calibri"/>
          <w:sz w:val="22"/>
          <w:szCs w:val="22"/>
        </w:rPr>
        <w:t xml:space="preserve"/>
      </w:r>
    </w:p>
    <w:p>
      <w:pPr>
        <w:spacing w:after="120"/>
        <w:jc w:val="left"/>
      </w:pPr>
      <w:r>
        <w:rPr>
          <w:rFonts w:ascii="Calibri" w:cs="Calibri" w:eastAsia="Calibri" w:hAnsi="Calibri"/>
          <w:b/>
          <w:bCs/>
          <w:color w:val="1F4E79"/>
          <w:sz w:val="24"/>
          <w:szCs w:val="24"/>
        </w:rPr>
        <w:t xml:space="preserve">Revision Sign-Off</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4500"/>
        <w:gridCol w:w="2700"/>
        <w:gridCol w:w="1800"/>
      </w:tblGrid>
      <w:tr>
        <w:tc>
          <w:tcPr>
            <w:tcW w:type="dxa" w:w="4500"/>
            <w:shd w:fill="F2F2F2" w:val="clear"/>
            <w:vAlign w:val="center"/>
          </w:tcPr>
          <w:p>
            <w:pPr>
              <w:jc w:val="left"/>
            </w:pPr>
            <w:r>
              <w:rPr>
                <w:rFonts w:ascii="Calibri" w:cs="Calibri" w:eastAsia="Calibri" w:hAnsi="Calibri"/>
                <w:b/>
                <w:bCs/>
                <w:color w:val="000000"/>
                <w:sz w:val="22"/>
                <w:szCs w:val="22"/>
              </w:rPr>
              <w:t xml:space="preserve">Approving Committee</w:t>
            </w:r>
          </w:p>
        </w:tc>
        <w:tc>
          <w:tcPr>
            <w:tcW w:type="dxa" w:w="2700"/>
            <w:shd w:fill="F2F2F2" w:val="clear"/>
            <w:vAlign w:val="center"/>
          </w:tcPr>
          <w:p>
            <w:pPr>
              <w:jc w:val="left"/>
            </w:pPr>
            <w:r>
              <w:rPr>
                <w:rFonts w:ascii="Calibri" w:cs="Calibri" w:eastAsia="Calibri" w:hAnsi="Calibri"/>
                <w:b/>
                <w:bCs/>
                <w:color w:val="000000"/>
                <w:sz w:val="22"/>
                <w:szCs w:val="22"/>
              </w:rPr>
              <w:t xml:space="preserve">Name</w:t>
            </w:r>
          </w:p>
        </w:tc>
        <w:tc>
          <w:tcPr>
            <w:tcW w:type="dxa" w:w="1800"/>
            <w:shd w:fill="F2F2F2" w:val="clear"/>
            <w:vAlign w:val="center"/>
          </w:tcPr>
          <w:p>
            <w:pPr>
              <w:jc w:val="left"/>
            </w:pPr>
            <w:r>
              <w:rPr>
                <w:rFonts w:ascii="Calibri" w:cs="Calibri" w:eastAsia="Calibri" w:hAnsi="Calibri"/>
                <w:b/>
                <w:bCs/>
                <w:color w:val="000000"/>
                <w:sz w:val="22"/>
                <w:szCs w:val="22"/>
              </w:rPr>
              <w:t xml:space="preserve">Signature</w:t>
            </w:r>
          </w:p>
        </w:tc>
      </w:tr>
      <w:tr>
        <w:tc>
          <w:tcPr>
            <w:tcW w:type="dxa" w:w="4500"/>
            <w:vAlign w:val="center"/>
          </w:tcPr>
          <w:p>
            <w:pPr>
              <w:jc w:val="left"/>
            </w:pPr>
            <w:r>
              <w:rPr>
                <w:rFonts w:ascii="Calibri" w:cs="Calibri" w:eastAsia="Calibri" w:hAnsi="Calibri"/>
                <w:b w:val="false"/>
                <w:bCs w:val="false"/>
                <w:color w:val="000000"/>
                <w:sz w:val="22"/>
                <w:szCs w:val="22"/>
              </w:rPr>
              <w:t xml:space="preserve">Endorsed by — Group Head of Supply Chain</w:t>
            </w:r>
          </w:p>
        </w:tc>
        <w:tc>
          <w:tcPr>
            <w:tcW w:type="dxa" w:w="2700"/>
            <w:vAlign w:val="center"/>
          </w:tcPr>
          <w:p>
            <w:pPr>
              <w:jc w:val="left"/>
            </w:pPr>
            <w:r>
              <w:rPr>
                <w:rFonts w:ascii="Calibri" w:cs="Calibri" w:eastAsia="Calibri" w:hAnsi="Calibri"/>
                <w:b w:val="false"/>
                <w:bCs w:val="false"/>
                <w:color w:val="000000"/>
                <w:sz w:val="22"/>
                <w:szCs w:val="22"/>
              </w:rPr>
              <w:t xml:space="preserve">Mohamad Koussa</w:t>
            </w:r>
          </w:p>
        </w:tc>
        <w:tc>
          <w:tcPr>
            <w:tcW w:type="dxa" w:w="1800"/>
            <w:vAlign w:val="center"/>
          </w:tcPr>
          <w:p>
            <w:pPr>
              <w:jc w:val="left"/>
            </w:pPr>
            <w:r>
              <w:rPr>
                <w:rFonts w:ascii="Calibri" w:cs="Calibri" w:eastAsia="Calibri" w:hAnsi="Calibri"/>
                <w:b w:val="false"/>
                <w:bCs w:val="false"/>
                <w:color w:val="000000"/>
                <w:sz w:val="22"/>
                <w:szCs w:val="22"/>
              </w:rPr>
              <w:t xml:space="preserve"/>
            </w:r>
          </w:p>
        </w:tc>
      </w:tr>
      <w:tr>
        <w:tc>
          <w:tcPr>
            <w:tcW w:type="dxa" w:w="4500"/>
            <w:vAlign w:val="center"/>
          </w:tcPr>
          <w:p>
            <w:pPr>
              <w:jc w:val="left"/>
            </w:pPr>
            <w:r>
              <w:rPr>
                <w:rFonts w:ascii="Calibri" w:cs="Calibri" w:eastAsia="Calibri" w:hAnsi="Calibri"/>
                <w:b w:val="false"/>
                <w:bCs w:val="false"/>
                <w:color w:val="000000"/>
                <w:sz w:val="22"/>
                <w:szCs w:val="22"/>
              </w:rPr>
              <w:t xml:space="preserve">Reviewed by — BIIL CEO</w:t>
            </w:r>
          </w:p>
        </w:tc>
        <w:tc>
          <w:tcPr>
            <w:tcW w:type="dxa" w:w="2700"/>
            <w:vAlign w:val="center"/>
          </w:tcPr>
          <w:p>
            <w:pPr>
              <w:jc w:val="left"/>
            </w:pPr>
            <w:r>
              <w:rPr>
                <w:rFonts w:ascii="Calibri" w:cs="Calibri" w:eastAsia="Calibri" w:hAnsi="Calibri"/>
                <w:b w:val="false"/>
                <w:bCs w:val="false"/>
                <w:color w:val="000000"/>
                <w:sz w:val="22"/>
                <w:szCs w:val="22"/>
              </w:rPr>
              <w:t xml:space="preserve">Mr. Ayman Ismail</w:t>
            </w:r>
          </w:p>
        </w:tc>
        <w:tc>
          <w:tcPr>
            <w:tcW w:type="dxa" w:w="1800"/>
            <w:vAlign w:val="center"/>
          </w:tcPr>
          <w:p>
            <w:pPr>
              <w:jc w:val="left"/>
            </w:pPr>
            <w:r>
              <w:rPr>
                <w:rFonts w:ascii="Calibri" w:cs="Calibri" w:eastAsia="Calibri" w:hAnsi="Calibri"/>
                <w:b w:val="false"/>
                <w:bCs w:val="false"/>
                <w:color w:val="000000"/>
                <w:sz w:val="22"/>
                <w:szCs w:val="22"/>
              </w:rPr>
              <w:t xml:space="preserve"/>
            </w:r>
          </w:p>
        </w:tc>
      </w:tr>
      <w:tr>
        <w:tc>
          <w:tcPr>
            <w:tcW w:type="dxa" w:w="4500"/>
            <w:vAlign w:val="center"/>
          </w:tcPr>
          <w:p>
            <w:pPr>
              <w:jc w:val="left"/>
            </w:pPr>
            <w:r>
              <w:rPr>
                <w:rFonts w:ascii="Calibri" w:cs="Calibri" w:eastAsia="Calibri" w:hAnsi="Calibri"/>
                <w:b w:val="false"/>
                <w:bCs w:val="false"/>
                <w:color w:val="000000"/>
                <w:sz w:val="22"/>
                <w:szCs w:val="22"/>
              </w:rPr>
              <w:t xml:space="preserve">Reviewed by — Group Chief Financial Officer</w:t>
            </w:r>
          </w:p>
        </w:tc>
        <w:tc>
          <w:tcPr>
            <w:tcW w:type="dxa" w:w="2700"/>
            <w:vAlign w:val="center"/>
          </w:tcPr>
          <w:p>
            <w:pPr>
              <w:jc w:val="left"/>
            </w:pPr>
            <w:r>
              <w:rPr>
                <w:rFonts w:ascii="Calibri" w:cs="Calibri" w:eastAsia="Calibri" w:hAnsi="Calibri"/>
                <w:b w:val="false"/>
                <w:bCs w:val="false"/>
                <w:color w:val="000000"/>
                <w:sz w:val="22"/>
                <w:szCs w:val="22"/>
              </w:rPr>
              <w:t xml:space="preserve">Mohamed Adnaan Sait</w:t>
            </w:r>
          </w:p>
        </w:tc>
        <w:tc>
          <w:tcPr>
            <w:tcW w:type="dxa" w:w="1800"/>
            <w:vAlign w:val="center"/>
          </w:tcPr>
          <w:p>
            <w:pPr>
              <w:jc w:val="left"/>
            </w:pPr>
            <w:r>
              <w:rPr>
                <w:rFonts w:ascii="Calibri" w:cs="Calibri" w:eastAsia="Calibri" w:hAnsi="Calibri"/>
                <w:b w:val="false"/>
                <w:bCs w:val="false"/>
                <w:color w:val="000000"/>
                <w:sz w:val="22"/>
                <w:szCs w:val="22"/>
              </w:rPr>
              <w:t xml:space="preserve"/>
            </w:r>
          </w:p>
        </w:tc>
      </w:tr>
      <w:tr>
        <w:tc>
          <w:tcPr>
            <w:tcW w:type="dxa" w:w="4500"/>
            <w:vAlign w:val="center"/>
          </w:tcPr>
          <w:p>
            <w:pPr>
              <w:jc w:val="left"/>
            </w:pPr>
            <w:r>
              <w:rPr>
                <w:rFonts w:ascii="Calibri" w:cs="Calibri" w:eastAsia="Calibri" w:hAnsi="Calibri"/>
                <w:b w:val="false"/>
                <w:bCs w:val="false"/>
                <w:color w:val="000000"/>
                <w:sz w:val="22"/>
                <w:szCs w:val="22"/>
              </w:rPr>
              <w:t xml:space="preserve">Approved by — Chairman &amp; Group CEO</w:t>
            </w:r>
          </w:p>
        </w:tc>
        <w:tc>
          <w:tcPr>
            <w:tcW w:type="dxa" w:w="2700"/>
            <w:vAlign w:val="center"/>
          </w:tcPr>
          <w:p>
            <w:pPr>
              <w:jc w:val="left"/>
            </w:pPr>
            <w:r>
              <w:rPr>
                <w:rFonts w:ascii="Calibri" w:cs="Calibri" w:eastAsia="Calibri" w:hAnsi="Calibri"/>
                <w:b w:val="false"/>
                <w:bCs w:val="false"/>
                <w:color w:val="000000"/>
                <w:sz w:val="22"/>
                <w:szCs w:val="22"/>
              </w:rPr>
              <w:t xml:space="preserve">Mr. Salah Bukhatir</w:t>
            </w:r>
          </w:p>
        </w:tc>
        <w:tc>
          <w:tcPr>
            <w:tcW w:type="dxa" w:w="1800"/>
            <w:vAlign w:val="center"/>
          </w:tcPr>
          <w:p>
            <w:pPr>
              <w:jc w:val="left"/>
            </w:pPr>
            <w:r>
              <w:rPr>
                <w:rFonts w:ascii="Calibri" w:cs="Calibri" w:eastAsia="Calibri" w:hAnsi="Calibri"/>
                <w:b w:val="false"/>
                <w:bCs w:val="false"/>
                <w:color w:val="000000"/>
                <w:sz w:val="22"/>
                <w:szCs w:val="22"/>
              </w:rPr>
              <w:t xml:space="preserve"/>
            </w:r>
          </w:p>
        </w:tc>
      </w:tr>
    </w:tbl>
    <w:p>
      <w:pPr>
        <w:spacing w:after="120"/>
        <w:jc w:val="left"/>
      </w:pPr>
      <w:r>
        <w:rPr>
          <w:rFonts w:ascii="Calibri" w:cs="Calibri" w:eastAsia="Calibri" w:hAnsi="Calibri"/>
          <w:sz w:val="22"/>
          <w:szCs w:val="22"/>
        </w:rPr>
        <w:t xml:space="preserve"/>
      </w:r>
    </w:p>
    <w:p>
      <w:pPr>
        <w:spacing w:after="120"/>
        <w:jc w:val="left"/>
      </w:pPr>
      <w:r>
        <w:rPr>
          <w:rFonts w:ascii="Calibri" w:cs="Calibri" w:eastAsia="Calibri" w:hAnsi="Calibri"/>
          <w:b/>
          <w:bCs/>
          <w:color w:val="1F4E79"/>
          <w:sz w:val="24"/>
          <w:szCs w:val="24"/>
        </w:rPr>
        <w:t xml:space="preserve">Distribution List</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000"/>
        <w:gridCol w:w="8000"/>
      </w:tblGrid>
      <w:tr>
        <w:tc>
          <w:tcPr>
            <w:tcW w:type="dxa" w:w="1000"/>
            <w:shd w:fill="F2F2F2" w:val="clear"/>
            <w:vAlign w:val="center"/>
          </w:tcPr>
          <w:p>
            <w:pPr>
              <w:jc w:val="left"/>
            </w:pPr>
            <w:r>
              <w:rPr>
                <w:rFonts w:ascii="Calibri" w:cs="Calibri" w:eastAsia="Calibri" w:hAnsi="Calibri"/>
                <w:b/>
                <w:bCs/>
                <w:color w:val="000000"/>
                <w:sz w:val="22"/>
                <w:szCs w:val="22"/>
              </w:rPr>
              <w:t xml:space="preserve">#</w:t>
            </w:r>
          </w:p>
        </w:tc>
        <w:tc>
          <w:tcPr>
            <w:tcW w:type="dxa" w:w="8000"/>
            <w:shd w:fill="F2F2F2" w:val="clear"/>
            <w:vAlign w:val="center"/>
          </w:tcPr>
          <w:p>
            <w:pPr>
              <w:jc w:val="left"/>
            </w:pPr>
            <w:r>
              <w:rPr>
                <w:rFonts w:ascii="Calibri" w:cs="Calibri" w:eastAsia="Calibri" w:hAnsi="Calibri"/>
                <w:b/>
                <w:bCs/>
                <w:color w:val="000000"/>
                <w:sz w:val="22"/>
                <w:szCs w:val="22"/>
              </w:rPr>
              <w:t xml:space="preserve">Departments</w:t>
            </w:r>
          </w:p>
        </w:tc>
      </w:tr>
      <w:tr>
        <w:tc>
          <w:tcPr>
            <w:tcW w:type="dxa" w:w="1000"/>
            <w:vAlign w:val="center"/>
          </w:tcPr>
          <w:p>
            <w:pPr>
              <w:jc w:val="left"/>
            </w:pPr>
            <w:r>
              <w:rPr>
                <w:rFonts w:ascii="Calibri" w:cs="Calibri" w:eastAsia="Calibri" w:hAnsi="Calibri"/>
                <w:b w:val="false"/>
                <w:bCs w:val="false"/>
                <w:color w:val="000000"/>
                <w:sz w:val="22"/>
                <w:szCs w:val="22"/>
              </w:rPr>
              <w:t xml:space="preserve">1</w:t>
            </w:r>
          </w:p>
        </w:tc>
        <w:tc>
          <w:tcPr>
            <w:tcW w:type="dxa" w:w="8000"/>
            <w:vAlign w:val="center"/>
          </w:tcPr>
          <w:p>
            <w:pPr>
              <w:jc w:val="left"/>
            </w:pPr>
            <w:r>
              <w:rPr>
                <w:rFonts w:ascii="Calibri" w:cs="Calibri" w:eastAsia="Calibri" w:hAnsi="Calibri"/>
                <w:b w:val="false"/>
                <w:bCs w:val="false"/>
                <w:color w:val="000000"/>
                <w:sz w:val="22"/>
                <w:szCs w:val="22"/>
              </w:rPr>
              <w:t xml:space="preserve">Business Unit Procurement Departments</w:t>
            </w:r>
          </w:p>
        </w:tc>
      </w:tr>
      <w:tr>
        <w:tc>
          <w:tcPr>
            <w:tcW w:type="dxa" w:w="1000"/>
            <w:vAlign w:val="center"/>
          </w:tcPr>
          <w:p>
            <w:pPr>
              <w:jc w:val="left"/>
            </w:pPr>
            <w:r>
              <w:rPr>
                <w:rFonts w:ascii="Calibri" w:cs="Calibri" w:eastAsia="Calibri" w:hAnsi="Calibri"/>
                <w:b w:val="false"/>
                <w:bCs w:val="false"/>
                <w:color w:val="000000"/>
                <w:sz w:val="22"/>
                <w:szCs w:val="22"/>
              </w:rPr>
              <w:t xml:space="preserve">2</w:t>
            </w:r>
          </w:p>
        </w:tc>
        <w:tc>
          <w:tcPr>
            <w:tcW w:type="dxa" w:w="8000"/>
            <w:vAlign w:val="center"/>
          </w:tcPr>
          <w:p>
            <w:pPr>
              <w:jc w:val="left"/>
            </w:pPr>
            <w:r>
              <w:rPr>
                <w:rFonts w:ascii="Calibri" w:cs="Calibri" w:eastAsia="Calibri" w:hAnsi="Calibri"/>
                <w:b w:val="false"/>
                <w:bCs w:val="false"/>
                <w:color w:val="000000"/>
                <w:sz w:val="22"/>
                <w:szCs w:val="22"/>
              </w:rPr>
              <w:t xml:space="preserve">Group Supply Chain (GSC)</w:t>
            </w:r>
          </w:p>
        </w:tc>
      </w:tr>
      <w:tr>
        <w:tc>
          <w:tcPr>
            <w:tcW w:type="dxa" w:w="1000"/>
            <w:vAlign w:val="center"/>
          </w:tcPr>
          <w:p>
            <w:pPr>
              <w:jc w:val="left"/>
            </w:pPr>
            <w:r>
              <w:rPr>
                <w:rFonts w:ascii="Calibri" w:cs="Calibri" w:eastAsia="Calibri" w:hAnsi="Calibri"/>
                <w:b w:val="false"/>
                <w:bCs w:val="false"/>
                <w:color w:val="000000"/>
                <w:sz w:val="22"/>
                <w:szCs w:val="22"/>
              </w:rPr>
              <w:t xml:space="preserve">3</w:t>
            </w:r>
          </w:p>
        </w:tc>
        <w:tc>
          <w:tcPr>
            <w:tcW w:type="dxa" w:w="8000"/>
            <w:vAlign w:val="center"/>
          </w:tcPr>
          <w:p>
            <w:pPr>
              <w:jc w:val="left"/>
            </w:pPr>
            <w:r>
              <w:rPr>
                <w:rFonts w:ascii="Calibri" w:cs="Calibri" w:eastAsia="Calibri" w:hAnsi="Calibri"/>
                <w:b w:val="false"/>
                <w:bCs w:val="false"/>
                <w:color w:val="000000"/>
                <w:sz w:val="22"/>
                <w:szCs w:val="22"/>
              </w:rPr>
              <w:t xml:space="preserve">Finance, Legal, Compliance, Internal Audit</w:t>
            </w:r>
          </w:p>
        </w:tc>
      </w:tr>
      <w:tr>
        <w:tc>
          <w:tcPr>
            <w:tcW w:type="dxa" w:w="1000"/>
            <w:vAlign w:val="center"/>
          </w:tcPr>
          <w:p>
            <w:pPr>
              <w:jc w:val="left"/>
            </w:pPr>
            <w:r>
              <w:rPr>
                <w:rFonts w:ascii="Calibri" w:cs="Calibri" w:eastAsia="Calibri" w:hAnsi="Calibri"/>
                <w:b w:val="false"/>
                <w:bCs w:val="false"/>
                <w:color w:val="000000"/>
                <w:sz w:val="22"/>
                <w:szCs w:val="22"/>
              </w:rPr>
              <w:t xml:space="preserve">4</w:t>
            </w:r>
          </w:p>
        </w:tc>
        <w:tc>
          <w:tcPr>
            <w:tcW w:type="dxa" w:w="8000"/>
            <w:vAlign w:val="center"/>
          </w:tcPr>
          <w:p>
            <w:pPr>
              <w:jc w:val="left"/>
            </w:pPr>
            <w:r>
              <w:rPr>
                <w:rFonts w:ascii="Calibri" w:cs="Calibri" w:eastAsia="Calibri" w:hAnsi="Calibri"/>
                <w:b w:val="false"/>
                <w:bCs w:val="false"/>
                <w:color w:val="000000"/>
                <w:sz w:val="22"/>
                <w:szCs w:val="22"/>
              </w:rPr>
              <w:t xml:space="preserve">Business Unit Management</w:t>
            </w:r>
          </w:p>
        </w:tc>
      </w:tr>
      <w:tr>
        <w:tc>
          <w:tcPr>
            <w:tcW w:type="dxa" w:w="1000"/>
            <w:vAlign w:val="center"/>
          </w:tcPr>
          <w:p>
            <w:pPr>
              <w:jc w:val="left"/>
            </w:pPr>
            <w:r>
              <w:rPr>
                <w:rFonts w:ascii="Calibri" w:cs="Calibri" w:eastAsia="Calibri" w:hAnsi="Calibri"/>
                <w:b w:val="false"/>
                <w:bCs w:val="false"/>
                <w:color w:val="000000"/>
                <w:sz w:val="22"/>
                <w:szCs w:val="22"/>
              </w:rPr>
              <w:t xml:space="preserve">5</w:t>
            </w:r>
          </w:p>
        </w:tc>
        <w:tc>
          <w:tcPr>
            <w:tcW w:type="dxa" w:w="8000"/>
            <w:vAlign w:val="center"/>
          </w:tcPr>
          <w:p>
            <w:pPr>
              <w:jc w:val="left"/>
            </w:pPr>
            <w:r>
              <w:rPr>
                <w:rFonts w:ascii="Calibri" w:cs="Calibri" w:eastAsia="Calibri" w:hAnsi="Calibri"/>
                <w:b w:val="false"/>
                <w:bCs w:val="false"/>
                <w:color w:val="000000"/>
                <w:sz w:val="22"/>
                <w:szCs w:val="22"/>
              </w:rPr>
              <w:t xml:space="preserve">Tax / VAT Department</w:t>
            </w:r>
          </w:p>
        </w:tc>
      </w:tr>
    </w:tbl>
    <w:p>
      <w:r>
        <w:br w:type="page"/>
      </w:r>
    </w:p>
    <w:p>
      <w:pPr>
        <w:pStyle w:val="Heading1"/>
        <w:spacing w:after="120" w:before="240"/>
      </w:pPr>
      <w:r>
        <w:rPr>
          <w:rFonts w:ascii="Calibri" w:cs="Calibri" w:eastAsia="Calibri" w:hAnsi="Calibri"/>
          <w:b/>
          <w:bCs/>
          <w:color w:val="1F4E79"/>
          <w:sz w:val="28"/>
          <w:szCs w:val="28"/>
        </w:rPr>
        <w:t xml:space="preserve">1. Purpose &amp; Objective</w:t>
      </w:r>
    </w:p>
    <w:p>
      <w:pPr>
        <w:spacing w:after="120"/>
        <w:jc w:val="left"/>
      </w:pPr>
      <w:r>
        <w:rPr>
          <w:rFonts w:ascii="Calibri" w:cs="Calibri" w:eastAsia="Calibri" w:hAnsi="Calibri"/>
          <w:sz w:val="22"/>
          <w:szCs w:val="22"/>
        </w:rPr>
        <w:t xml:space="preserve">This policy establishes the measures, procedures and conditions that Bukhatir Group entities must follow to verify the validity and integrity of supplies received from suppliers before deducting Input Tax (VAT), in compliance with Federal Tax Authority Decision No. 13 of 2026, effective 1 October 2026.</w:t>
      </w:r>
    </w:p>
    <w:p>
      <w:pPr>
        <w:spacing w:after="120"/>
        <w:jc w:val="left"/>
      </w:pPr>
      <w:r>
        <w:rPr>
          <w:rFonts w:ascii="Calibri" w:cs="Calibri" w:eastAsia="Calibri" w:hAnsi="Calibri"/>
          <w:sz w:val="22"/>
          <w:szCs w:val="22"/>
        </w:rPr>
        <w:t xml:space="preserve">The objective is to ensure that the Group's Input Tax Credit (ITC) claims are supported by verifiable, documented supplier and supply checks, thereby mitigating the risk of ITC denial, penalties, or allegations of involvement in tax evasion.</w:t>
      </w:r>
    </w:p>
    <w:p>
      <w:pPr>
        <w:pStyle w:val="Heading1"/>
        <w:spacing w:after="120" w:before="240"/>
      </w:pPr>
      <w:r>
        <w:rPr>
          <w:rFonts w:ascii="Calibri" w:cs="Calibri" w:eastAsia="Calibri" w:hAnsi="Calibri"/>
          <w:b/>
          <w:bCs/>
          <w:color w:val="1F4E79"/>
          <w:sz w:val="28"/>
          <w:szCs w:val="28"/>
        </w:rPr>
        <w:t xml:space="preserve">2. Scope</w:t>
      </w:r>
    </w:p>
    <w:p>
      <w:pPr>
        <w:spacing w:after="120"/>
        <w:jc w:val="left"/>
      </w:pPr>
      <w:r>
        <w:rPr>
          <w:rFonts w:ascii="Calibri" w:cs="Calibri" w:eastAsia="Calibri" w:hAnsi="Calibri"/>
          <w:sz w:val="22"/>
          <w:szCs w:val="22"/>
        </w:rPr>
        <w:t xml:space="preserve">This policy applies to all Taxable Persons within the Bukhatir Group in relation to the verification of the validity and integrity of supplies they receive before deduction of Input Tax. It covers:</w:t>
      </w:r>
    </w:p>
    <w:p>
      <w:pPr>
        <w:spacing w:after="80"/>
        <w:ind w:left="720" w:hanging="360"/>
      </w:pPr>
      <w:r>
        <w:rPr>
          <w:rFonts w:ascii="Calibri" w:cs="Calibri" w:eastAsia="Calibri" w:hAnsi="Calibri"/>
          <w:sz w:val="22"/>
          <w:szCs w:val="22"/>
        </w:rPr>
        <w:t xml:space="preserve">•  All purchases of goods, services, works and sub-contracts where VAT is charged</w:t>
      </w:r>
    </w:p>
    <w:p>
      <w:pPr>
        <w:spacing w:after="80"/>
        <w:ind w:left="720" w:hanging="360"/>
      </w:pPr>
      <w:r>
        <w:rPr>
          <w:rFonts w:ascii="Calibri" w:cs="Calibri" w:eastAsia="Calibri" w:hAnsi="Calibri"/>
          <w:sz w:val="22"/>
          <w:szCs w:val="22"/>
        </w:rPr>
        <w:t xml:space="preserve">•  All suppliers — new and existing — from whom taxable supplies are received</w:t>
      </w:r>
    </w:p>
    <w:p>
      <w:pPr>
        <w:spacing w:after="80"/>
        <w:ind w:left="720" w:hanging="360"/>
      </w:pPr>
      <w:r>
        <w:rPr>
          <w:rFonts w:ascii="Calibri" w:cs="Calibri" w:eastAsia="Calibri" w:hAnsi="Calibri"/>
          <w:sz w:val="22"/>
          <w:szCs w:val="22"/>
        </w:rPr>
        <w:t xml:space="preserve">•  All payment methods including electronic transfers and cash purchases</w:t>
      </w:r>
    </w:p>
    <w:p>
      <w:pPr>
        <w:spacing w:after="80"/>
        <w:ind w:left="720" w:hanging="360"/>
      </w:pPr>
      <w:r>
        <w:rPr>
          <w:rFonts w:ascii="Calibri" w:cs="Calibri" w:eastAsia="Calibri" w:hAnsi="Calibri"/>
          <w:sz w:val="22"/>
          <w:szCs w:val="22"/>
        </w:rPr>
        <w:t xml:space="preserve">•  Import transactions where Input Tax is recoverable</w:t>
      </w:r>
    </w:p>
    <w:p>
      <w:pPr>
        <w:pStyle w:val="Heading1"/>
        <w:spacing w:after="120" w:before="240"/>
      </w:pPr>
      <w:r>
        <w:rPr>
          <w:rFonts w:ascii="Calibri" w:cs="Calibri" w:eastAsia="Calibri" w:hAnsi="Calibri"/>
          <w:b/>
          <w:bCs/>
          <w:color w:val="1F4E79"/>
          <w:sz w:val="28"/>
          <w:szCs w:val="28"/>
        </w:rPr>
        <w:t xml:space="preserve">3. Regulatory Basis</w:t>
      </w:r>
    </w:p>
    <w:p>
      <w:pPr>
        <w:spacing w:after="120"/>
        <w:jc w:val="left"/>
      </w:pPr>
      <w:r>
        <w:rPr>
          <w:rFonts w:ascii="Calibri" w:cs="Calibri" w:eastAsia="Calibri" w:hAnsi="Calibri"/>
          <w:sz w:val="22"/>
          <w:szCs w:val="22"/>
        </w:rPr>
        <w:t xml:space="preserve">This policy implements the requirements of:</w:t>
      </w:r>
    </w:p>
    <w:p>
      <w:pPr>
        <w:spacing w:after="80"/>
        <w:ind w:left="720" w:hanging="360"/>
      </w:pPr>
      <w:r>
        <w:rPr>
          <w:rFonts w:ascii="Calibri" w:cs="Calibri" w:eastAsia="Calibri" w:hAnsi="Calibri"/>
          <w:sz w:val="22"/>
          <w:szCs w:val="22"/>
        </w:rPr>
        <w:t xml:space="preserve">•  Federal Decree-Law No. 8 of 2017 on Value Added Tax, Article 54(bis)</w:t>
      </w:r>
    </w:p>
    <w:p>
      <w:pPr>
        <w:spacing w:after="80"/>
        <w:ind w:left="720" w:hanging="360"/>
      </w:pPr>
      <w:r>
        <w:rPr>
          <w:rFonts w:ascii="Calibri" w:cs="Calibri" w:eastAsia="Calibri" w:hAnsi="Calibri"/>
          <w:sz w:val="22"/>
          <w:szCs w:val="22"/>
        </w:rPr>
        <w:t xml:space="preserve">•  FTA Decision No. 13 of 2026 — Measures, Procedures and Conditions required by Taxable Persons for the Verification of the Validity and Integrity of the Supplies before Deduction of Input Tax</w:t>
      </w:r>
    </w:p>
    <w:p>
      <w:pPr>
        <w:spacing w:after="80"/>
        <w:ind w:left="720" w:hanging="360"/>
      </w:pPr>
      <w:r>
        <w:rPr>
          <w:rFonts w:ascii="Calibri" w:cs="Calibri" w:eastAsia="Calibri" w:hAnsi="Calibri"/>
          <w:sz w:val="22"/>
          <w:szCs w:val="22"/>
        </w:rPr>
        <w:t xml:space="preserve">•  Cabinet Decision No. 52 of 2017 on the Executive Regulation of the VAT Law</w:t>
      </w:r>
    </w:p>
    <w:p>
      <w:pPr>
        <w:spacing w:after="120"/>
        <w:jc w:val="left"/>
      </w:pPr>
      <w:r>
        <w:rPr>
          <w:rFonts w:ascii="Calibri" w:cs="Calibri" w:eastAsia="Calibri" w:hAnsi="Calibri"/>
          <w:sz w:val="22"/>
          <w:szCs w:val="22"/>
        </w:rPr>
        <w:t xml:space="preserve">Effective date: 1 October 2026. All Group entities must be fully compliant by this date.</w:t>
      </w:r>
    </w:p>
    <w:p>
      <w:pPr>
        <w:pStyle w:val="Heading1"/>
        <w:spacing w:after="120" w:before="240"/>
      </w:pPr>
      <w:r>
        <w:rPr>
          <w:rFonts w:ascii="Calibri" w:cs="Calibri" w:eastAsia="Calibri" w:hAnsi="Calibri"/>
          <w:b/>
          <w:bCs/>
          <w:color w:val="1F4E79"/>
          <w:sz w:val="28"/>
          <w:szCs w:val="28"/>
        </w:rPr>
        <w:t xml:space="preserve">4. Verification Thresholds &amp; Exceptions</w:t>
      </w:r>
    </w:p>
    <w:p>
      <w:pPr>
        <w:spacing w:after="120"/>
        <w:jc w:val="left"/>
      </w:pPr>
      <w:r>
        <w:rPr>
          <w:rFonts w:ascii="Calibri" w:cs="Calibri" w:eastAsia="Calibri" w:hAnsi="Calibri"/>
          <w:sz w:val="22"/>
          <w:szCs w:val="22"/>
        </w:rPr>
        <w:t xml:space="preserve">The FTA Decision sets monetary thresholds that determine the level of verification required:</w:t>
      </w:r>
    </w:p>
    <w:p>
      <w:pPr>
        <w:spacing w:after="120"/>
        <w:jc w:val="left"/>
      </w:pPr>
      <w:r>
        <w:rPr>
          <w:rFonts w:ascii="Calibri" w:cs="Calibri" w:eastAsia="Calibri" w:hAnsi="Calibri"/>
          <w:sz w:val="22"/>
          <w:szCs w:val="22"/>
        </w:rP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500"/>
        <w:gridCol w:w="3500"/>
        <w:gridCol w:w="3000"/>
      </w:tblGrid>
      <w:tr>
        <w:tc>
          <w:tcPr>
            <w:tcW w:type="dxa" w:w="2500"/>
            <w:shd w:fill="1F4E79" w:val="clear"/>
            <w:vAlign w:val="center"/>
          </w:tcPr>
          <w:p>
            <w:pPr>
              <w:jc w:val="left"/>
            </w:pPr>
            <w:r>
              <w:rPr>
                <w:rFonts w:ascii="Calibri" w:cs="Calibri" w:eastAsia="Calibri" w:hAnsi="Calibri"/>
                <w:b/>
                <w:bCs/>
                <w:color w:val="FFFFFF"/>
                <w:sz w:val="22"/>
                <w:szCs w:val="22"/>
              </w:rPr>
              <w:t xml:space="preserve">Threshold</w:t>
            </w:r>
          </w:p>
        </w:tc>
        <w:tc>
          <w:tcPr>
            <w:tcW w:type="dxa" w:w="3500"/>
            <w:shd w:fill="1F4E79" w:val="clear"/>
            <w:vAlign w:val="center"/>
          </w:tcPr>
          <w:p>
            <w:pPr>
              <w:jc w:val="left"/>
            </w:pPr>
            <w:r>
              <w:rPr>
                <w:rFonts w:ascii="Calibri" w:cs="Calibri" w:eastAsia="Calibri" w:hAnsi="Calibri"/>
                <w:b/>
                <w:bCs/>
                <w:color w:val="FFFFFF"/>
                <w:sz w:val="22"/>
                <w:szCs w:val="22"/>
              </w:rPr>
              <w:t xml:space="preserve">Condition</w:t>
            </w:r>
          </w:p>
        </w:tc>
        <w:tc>
          <w:tcPr>
            <w:tcW w:type="dxa" w:w="3000"/>
            <w:shd w:fill="1F4E79" w:val="clear"/>
            <w:vAlign w:val="center"/>
          </w:tcPr>
          <w:p>
            <w:pPr>
              <w:jc w:val="left"/>
            </w:pPr>
            <w:r>
              <w:rPr>
                <w:rFonts w:ascii="Calibri" w:cs="Calibri" w:eastAsia="Calibri" w:hAnsi="Calibri"/>
                <w:b/>
                <w:bCs/>
                <w:color w:val="FFFFFF"/>
                <w:sz w:val="22"/>
                <w:szCs w:val="22"/>
              </w:rPr>
              <w:t xml:space="preserve">Verification Requirement</w:t>
            </w:r>
          </w:p>
        </w:tc>
      </w:tr>
      <w:tr>
        <w:tc>
          <w:tcPr>
            <w:tcW w:type="dxa" w:w="2500"/>
            <w:vAlign w:val="center"/>
          </w:tcPr>
          <w:p>
            <w:pPr>
              <w:jc w:val="left"/>
            </w:pPr>
            <w:r>
              <w:rPr>
                <w:rFonts w:ascii="Calibri" w:cs="Calibri" w:eastAsia="Calibri" w:hAnsi="Calibri"/>
                <w:b/>
                <w:bCs/>
                <w:color w:val="000000"/>
                <w:sz w:val="22"/>
                <w:szCs w:val="22"/>
              </w:rPr>
              <w:t xml:space="preserve">&lt; AED 10,000</w:t>
            </w:r>
          </w:p>
        </w:tc>
        <w:tc>
          <w:tcPr>
            <w:tcW w:type="dxa" w:w="3500"/>
            <w:vAlign w:val="center"/>
          </w:tcPr>
          <w:p>
            <w:pPr>
              <w:jc w:val="left"/>
            </w:pPr>
            <w:r>
              <w:rPr>
                <w:rFonts w:ascii="Calibri" w:cs="Calibri" w:eastAsia="Calibri" w:hAnsi="Calibri"/>
                <w:b w:val="false"/>
                <w:bCs w:val="false"/>
                <w:color w:val="000000"/>
                <w:sz w:val="22"/>
                <w:szCs w:val="22"/>
              </w:rPr>
              <w:t xml:space="preserve">Single supply consideration (excl. VAT)</w:t>
            </w:r>
          </w:p>
        </w:tc>
        <w:tc>
          <w:tcPr>
            <w:tcW w:type="dxa" w:w="3000"/>
            <w:vAlign w:val="center"/>
          </w:tcPr>
          <w:p>
            <w:pPr>
              <w:jc w:val="left"/>
            </w:pPr>
            <w:r>
              <w:rPr>
                <w:rFonts w:ascii="Calibri" w:cs="Calibri" w:eastAsia="Calibri" w:hAnsi="Calibri"/>
                <w:b w:val="false"/>
                <w:bCs w:val="false"/>
                <w:color w:val="000000"/>
                <w:sz w:val="22"/>
                <w:szCs w:val="22"/>
              </w:rPr>
              <w:t xml:space="preserve">May be exempted from verification (see exception below)</w:t>
            </w:r>
          </w:p>
        </w:tc>
      </w:tr>
      <w:tr>
        <w:tc>
          <w:tcPr>
            <w:tcW w:type="dxa" w:w="2500"/>
            <w:vAlign w:val="center"/>
          </w:tcPr>
          <w:p>
            <w:pPr>
              <w:jc w:val="left"/>
            </w:pPr>
            <w:r>
              <w:rPr>
                <w:rFonts w:ascii="Calibri" w:cs="Calibri" w:eastAsia="Calibri" w:hAnsi="Calibri"/>
                <w:b/>
                <w:bCs/>
                <w:color w:val="000000"/>
                <w:sz w:val="22"/>
                <w:szCs w:val="22"/>
              </w:rPr>
              <w:t xml:space="preserve">≥ AED 10,000</w:t>
            </w:r>
          </w:p>
        </w:tc>
        <w:tc>
          <w:tcPr>
            <w:tcW w:type="dxa" w:w="3500"/>
            <w:vAlign w:val="center"/>
          </w:tcPr>
          <w:p>
            <w:pPr>
              <w:jc w:val="left"/>
            </w:pPr>
            <w:r>
              <w:rPr>
                <w:rFonts w:ascii="Calibri" w:cs="Calibri" w:eastAsia="Calibri" w:hAnsi="Calibri"/>
                <w:b w:val="false"/>
                <w:bCs w:val="false"/>
                <w:color w:val="000000"/>
                <w:sz w:val="22"/>
                <w:szCs w:val="22"/>
              </w:rPr>
              <w:t xml:space="preserve">Single supply consideration (excl. VAT)</w:t>
            </w:r>
          </w:p>
        </w:tc>
        <w:tc>
          <w:tcPr>
            <w:tcW w:type="dxa" w:w="3000"/>
            <w:vAlign w:val="center"/>
          </w:tcPr>
          <w:p>
            <w:pPr>
              <w:jc w:val="left"/>
            </w:pPr>
            <w:r>
              <w:rPr>
                <w:rFonts w:ascii="Calibri" w:cs="Calibri" w:eastAsia="Calibri" w:hAnsi="Calibri"/>
                <w:b w:val="false"/>
                <w:bCs w:val="false"/>
                <w:color w:val="000000"/>
                <w:sz w:val="22"/>
                <w:szCs w:val="22"/>
              </w:rPr>
              <w:t xml:space="preserve">Full supplier and supply verification required</w:t>
            </w:r>
          </w:p>
        </w:tc>
      </w:tr>
      <w:tr>
        <w:tc>
          <w:tcPr>
            <w:tcW w:type="dxa" w:w="2500"/>
            <w:vAlign w:val="center"/>
          </w:tcPr>
          <w:p>
            <w:pPr>
              <w:jc w:val="left"/>
            </w:pPr>
            <w:r>
              <w:rPr>
                <w:rFonts w:ascii="Calibri" w:cs="Calibri" w:eastAsia="Calibri" w:hAnsi="Calibri"/>
                <w:b/>
                <w:bCs/>
                <w:color w:val="000000"/>
                <w:sz w:val="22"/>
                <w:szCs w:val="22"/>
              </w:rPr>
              <w:t xml:space="preserve">&gt; AED 100,000</w:t>
            </w:r>
          </w:p>
        </w:tc>
        <w:tc>
          <w:tcPr>
            <w:tcW w:type="dxa" w:w="3500"/>
            <w:vAlign w:val="center"/>
          </w:tcPr>
          <w:p>
            <w:pPr>
              <w:jc w:val="left"/>
            </w:pPr>
            <w:r>
              <w:rPr>
                <w:rFonts w:ascii="Calibri" w:cs="Calibri" w:eastAsia="Calibri" w:hAnsi="Calibri"/>
                <w:b w:val="false"/>
                <w:bCs w:val="false"/>
                <w:color w:val="000000"/>
                <w:sz w:val="22"/>
                <w:szCs w:val="22"/>
              </w:rPr>
              <w:t xml:space="preserve">Total supplies from one supplier over 12 months</w:t>
            </w:r>
          </w:p>
        </w:tc>
        <w:tc>
          <w:tcPr>
            <w:tcW w:type="dxa" w:w="3000"/>
            <w:vAlign w:val="center"/>
          </w:tcPr>
          <w:p>
            <w:pPr>
              <w:jc w:val="left"/>
            </w:pPr>
            <w:r>
              <w:rPr>
                <w:rFonts w:ascii="Calibri" w:cs="Calibri" w:eastAsia="Calibri" w:hAnsi="Calibri"/>
                <w:b w:val="false"/>
                <w:bCs w:val="false"/>
                <w:color w:val="000000"/>
                <w:sz w:val="22"/>
                <w:szCs w:val="22"/>
              </w:rPr>
              <w:t xml:space="preserve">AED 10,000 exception does not apply — full verification required for all supplies</w:t>
            </w:r>
          </w:p>
        </w:tc>
      </w:tr>
      <w:tr>
        <w:tc>
          <w:tcPr>
            <w:tcW w:type="dxa" w:w="2500"/>
            <w:vAlign w:val="center"/>
          </w:tcPr>
          <w:p>
            <w:pPr>
              <w:jc w:val="left"/>
            </w:pPr>
            <w:r>
              <w:rPr>
                <w:rFonts w:ascii="Calibri" w:cs="Calibri" w:eastAsia="Calibri" w:hAnsi="Calibri"/>
                <w:b/>
                <w:bCs/>
                <w:color w:val="000000"/>
                <w:sz w:val="22"/>
                <w:szCs w:val="22"/>
              </w:rPr>
              <w:t xml:space="preserve">&gt; AED 375,000</w:t>
            </w:r>
          </w:p>
        </w:tc>
        <w:tc>
          <w:tcPr>
            <w:tcW w:type="dxa" w:w="3500"/>
            <w:vAlign w:val="center"/>
          </w:tcPr>
          <w:p>
            <w:pPr>
              <w:jc w:val="left"/>
            </w:pPr>
            <w:r>
              <w:rPr>
                <w:rFonts w:ascii="Calibri" w:cs="Calibri" w:eastAsia="Calibri" w:hAnsi="Calibri"/>
                <w:b w:val="false"/>
                <w:bCs w:val="false"/>
                <w:color w:val="000000"/>
                <w:sz w:val="22"/>
                <w:szCs w:val="22"/>
              </w:rPr>
              <w:t xml:space="preserve">Total supplies from one supplier over 12 months (actual or expected)</w:t>
            </w:r>
          </w:p>
        </w:tc>
        <w:tc>
          <w:tcPr>
            <w:tcW w:type="dxa" w:w="3000"/>
            <w:vAlign w:val="center"/>
          </w:tcPr>
          <w:p>
            <w:pPr>
              <w:jc w:val="left"/>
            </w:pPr>
            <w:r>
              <w:rPr>
                <w:rFonts w:ascii="Calibri" w:cs="Calibri" w:eastAsia="Calibri" w:hAnsi="Calibri"/>
                <w:b w:val="false"/>
                <w:bCs w:val="false"/>
                <w:color w:val="000000"/>
                <w:sz w:val="22"/>
                <w:szCs w:val="22"/>
              </w:rPr>
              <w:t xml:space="preserve">Enhanced verification: bank account confirmation + public review assessment</w:t>
            </w:r>
          </w:p>
        </w:tc>
      </w:tr>
    </w:tbl>
    <w:p>
      <w:pPr>
        <w:spacing w:after="120"/>
        <w:jc w:val="left"/>
      </w:pPr>
      <w:r>
        <w:rPr>
          <w:rFonts w:ascii="Calibri" w:cs="Calibri" w:eastAsia="Calibri" w:hAnsi="Calibri"/>
          <w:sz w:val="22"/>
          <w:szCs w:val="22"/>
        </w:rPr>
        <w:t xml:space="preserve"/>
      </w:r>
    </w:p>
    <w:p>
      <w:pPr>
        <w:spacing w:after="120"/>
        <w:jc w:val="left"/>
      </w:pPr>
      <w:r>
        <w:rPr>
          <w:rFonts w:ascii="Calibri" w:cs="Calibri" w:eastAsia="Calibri" w:hAnsi="Calibri"/>
          <w:b/>
          <w:bCs/>
          <w:sz w:val="22"/>
          <w:szCs w:val="22"/>
        </w:rPr>
        <w:t xml:space="preserve">Exception: A Taxable Person may disregard the verification measures on supplies where the consideration (excl. VAT) is less than AED 10,000. However, this exception does NOT apply where the total value of supplies received from the same supplier exceeds AED 100,000 over the previous or next 12 months.</w:t>
      </w:r>
    </w:p>
    <w:p>
      <w:pPr>
        <w:pStyle w:val="Heading1"/>
        <w:spacing w:after="120" w:before="240"/>
      </w:pPr>
      <w:r>
        <w:rPr>
          <w:rFonts w:ascii="Calibri" w:cs="Calibri" w:eastAsia="Calibri" w:hAnsi="Calibri"/>
          <w:b/>
          <w:bCs/>
          <w:color w:val="1F4E79"/>
          <w:sz w:val="28"/>
          <w:szCs w:val="28"/>
        </w:rPr>
        <w:t xml:space="preserve">5. Supplier Verification Requirements</w:t>
      </w:r>
    </w:p>
    <w:p>
      <w:pPr>
        <w:spacing w:after="120"/>
        <w:jc w:val="left"/>
      </w:pPr>
      <w:r>
        <w:rPr>
          <w:rFonts w:ascii="Calibri" w:cs="Calibri" w:eastAsia="Calibri" w:hAnsi="Calibri"/>
          <w:sz w:val="22"/>
          <w:szCs w:val="22"/>
        </w:rPr>
        <w:t xml:space="preserve">Before claiming Input Tax, the following supplier verification must be completed per FTA Decision No. 13, Article 3. Verification must occur when dealing with a supplier for the first time, and must be renewed at least every 12 months.</w:t>
      </w:r>
    </w:p>
    <w:p>
      <w:pPr>
        <w:spacing w:after="120"/>
        <w:jc w:val="left"/>
      </w:pPr>
      <w:r>
        <w:rPr>
          <w:rFonts w:ascii="Calibri" w:cs="Calibri" w:eastAsia="Calibri" w:hAnsi="Calibri"/>
          <w:sz w:val="22"/>
          <w:szCs w:val="22"/>
        </w:rPr>
        <w:t xml:space="preserve"/>
      </w:r>
    </w:p>
    <w:p>
      <w:pPr>
        <w:pStyle w:val="Heading2"/>
        <w:spacing w:after="120" w:before="240"/>
      </w:pPr>
      <w:r>
        <w:rPr>
          <w:rFonts w:ascii="Calibri" w:cs="Calibri" w:eastAsia="Calibri" w:hAnsi="Calibri"/>
          <w:b/>
          <w:bCs/>
          <w:color w:val="1F4E79"/>
          <w:sz w:val="24"/>
          <w:szCs w:val="24"/>
        </w:rPr>
        <w:t xml:space="preserve">5.1 Identity Verification</w:t>
      </w:r>
    </w:p>
    <w:p>
      <w:pPr>
        <w:spacing w:after="80"/>
        <w:ind w:left="1080" w:hanging="360"/>
      </w:pPr>
      <w:r>
        <w:rPr>
          <w:rFonts w:ascii="Calibri" w:cs="Calibri" w:eastAsia="Calibri" w:hAnsi="Calibri"/>
          <w:b/>
          <w:bCs/>
          <w:sz w:val="22"/>
          <w:szCs w:val="22"/>
        </w:rPr>
        <w:t xml:space="preserve">a) </w:t>
      </w:r>
      <w:r>
        <w:rPr>
          <w:rFonts w:ascii="Calibri" w:cs="Calibri" w:eastAsia="Calibri" w:hAnsi="Calibri"/>
          <w:sz w:val="22"/>
          <w:szCs w:val="22"/>
        </w:rPr>
        <w:t xml:space="preserve">Natural person supplier: Obtain a copy of valid Emirates ID or passport. Meet the supplier in person or virtually before making the supply.</w:t>
      </w:r>
    </w:p>
    <w:p>
      <w:pPr>
        <w:spacing w:after="80"/>
        <w:ind w:left="1080" w:hanging="360"/>
      </w:pPr>
      <w:r>
        <w:rPr>
          <w:rFonts w:ascii="Calibri" w:cs="Calibri" w:eastAsia="Calibri" w:hAnsi="Calibri"/>
          <w:b/>
          <w:bCs/>
          <w:sz w:val="22"/>
          <w:szCs w:val="22"/>
        </w:rPr>
        <w:t xml:space="preserve">b) </w:t>
      </w:r>
      <w:r>
        <w:rPr>
          <w:rFonts w:ascii="Calibri" w:cs="Calibri" w:eastAsia="Calibri" w:hAnsi="Calibri"/>
          <w:sz w:val="22"/>
          <w:szCs w:val="22"/>
        </w:rPr>
        <w:t xml:space="preserve">Legal person supplier: Verify incorporation through official databases or obtain a copy of the certificate of incorporation. Confirm that the entity's name, address, and employees match. Verify the identity of the director, agent, or authorized employee (Emirates ID or passport).</w:t>
      </w:r>
    </w:p>
    <w:p>
      <w:pPr>
        <w:spacing w:after="120"/>
        <w:jc w:val="left"/>
      </w:pPr>
      <w:r>
        <w:rPr>
          <w:rFonts w:ascii="Calibri" w:cs="Calibri" w:eastAsia="Calibri" w:hAnsi="Calibri"/>
          <w:sz w:val="22"/>
          <w:szCs w:val="22"/>
        </w:rPr>
        <w:t xml:space="preserve"/>
      </w:r>
    </w:p>
    <w:p>
      <w:pPr>
        <w:pStyle w:val="Heading2"/>
        <w:spacing w:after="120" w:before="240"/>
      </w:pPr>
      <w:r>
        <w:rPr>
          <w:rFonts w:ascii="Calibri" w:cs="Calibri" w:eastAsia="Calibri" w:hAnsi="Calibri"/>
          <w:b/>
          <w:bCs/>
          <w:color w:val="1F4E79"/>
          <w:sz w:val="24"/>
          <w:szCs w:val="24"/>
        </w:rPr>
        <w:t xml:space="preserve">5.2 Address &amp; Place of Business Verification</w:t>
      </w:r>
    </w:p>
    <w:p>
      <w:pPr>
        <w:spacing w:after="80"/>
        <w:ind w:left="1080" w:hanging="360"/>
      </w:pPr>
      <w:r>
        <w:rPr>
          <w:rFonts w:ascii="Calibri" w:cs="Calibri" w:eastAsia="Calibri" w:hAnsi="Calibri"/>
          <w:b/>
          <w:bCs/>
          <w:sz w:val="22"/>
          <w:szCs w:val="22"/>
        </w:rPr>
        <w:t xml:space="preserve">a) </w:t>
      </w:r>
      <w:r>
        <w:rPr>
          <w:rFonts w:ascii="Calibri" w:cs="Calibri" w:eastAsia="Calibri" w:hAnsi="Calibri"/>
          <w:sz w:val="22"/>
          <w:szCs w:val="22"/>
        </w:rPr>
        <w:t xml:space="preserve">Verify the existence of an actual place of business using electronic means or by conducting a field visit.</w:t>
      </w:r>
    </w:p>
    <w:p>
      <w:pPr>
        <w:spacing w:after="80"/>
        <w:ind w:left="1080" w:hanging="360"/>
      </w:pPr>
      <w:r>
        <w:rPr>
          <w:rFonts w:ascii="Calibri" w:cs="Calibri" w:eastAsia="Calibri" w:hAnsi="Calibri"/>
          <w:b/>
          <w:bCs/>
          <w:sz w:val="22"/>
          <w:szCs w:val="22"/>
        </w:rPr>
        <w:t xml:space="preserve">b) </w:t>
      </w:r>
      <w:r>
        <w:rPr>
          <w:rFonts w:ascii="Calibri" w:cs="Calibri" w:eastAsia="Calibri" w:hAnsi="Calibri"/>
          <w:sz w:val="22"/>
          <w:szCs w:val="22"/>
        </w:rPr>
        <w:t xml:space="preserve">Ensure the place of business is compatible with the nature of the supplier's activities.</w:t>
      </w:r>
    </w:p>
    <w:p>
      <w:pPr>
        <w:spacing w:after="120"/>
        <w:jc w:val="left"/>
      </w:pPr>
      <w:r>
        <w:rPr>
          <w:rFonts w:ascii="Calibri" w:cs="Calibri" w:eastAsia="Calibri" w:hAnsi="Calibri"/>
          <w:sz w:val="22"/>
          <w:szCs w:val="22"/>
        </w:rPr>
        <w:t xml:space="preserve"/>
      </w:r>
    </w:p>
    <w:p>
      <w:pPr>
        <w:pStyle w:val="Heading2"/>
        <w:spacing w:after="120" w:before="240"/>
      </w:pPr>
      <w:r>
        <w:rPr>
          <w:rFonts w:ascii="Calibri" w:cs="Calibri" w:eastAsia="Calibri" w:hAnsi="Calibri"/>
          <w:b/>
          <w:bCs/>
          <w:color w:val="1F4E79"/>
          <w:sz w:val="24"/>
          <w:szCs w:val="24"/>
        </w:rPr>
        <w:t xml:space="preserve">5.3 Risk Assessment</w:t>
      </w:r>
    </w:p>
    <w:p>
      <w:pPr>
        <w:spacing w:after="120"/>
        <w:jc w:val="left"/>
      </w:pPr>
      <w:r>
        <w:rPr>
          <w:rFonts w:ascii="Calibri" w:cs="Calibri" w:eastAsia="Calibri" w:hAnsi="Calibri"/>
          <w:sz w:val="22"/>
          <w:szCs w:val="22"/>
        </w:rPr>
        <w:t xml:space="preserve">The Taxable Person shall assess the following risk indicators:</w:t>
      </w:r>
    </w:p>
    <w:p>
      <w:pPr>
        <w:spacing w:after="120"/>
        <w:jc w:val="left"/>
      </w:pPr>
      <w:r>
        <w:rPr>
          <w:rFonts w:ascii="Calibri" w:cs="Calibri" w:eastAsia="Calibri" w:hAnsi="Calibri"/>
          <w:sz w:val="22"/>
          <w:szCs w:val="22"/>
        </w:rP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500"/>
        <w:gridCol w:w="4500"/>
        <w:gridCol w:w="4000"/>
      </w:tblGrid>
      <w:tr>
        <w:tc>
          <w:tcPr>
            <w:tcW w:type="dxa" w:w="500"/>
            <w:shd w:fill="1F4E79" w:val="clear"/>
            <w:vAlign w:val="center"/>
          </w:tcPr>
          <w:p>
            <w:pPr>
              <w:jc w:val="left"/>
            </w:pPr>
            <w:r>
              <w:rPr>
                <w:rFonts w:ascii="Calibri" w:cs="Calibri" w:eastAsia="Calibri" w:hAnsi="Calibri"/>
                <w:b/>
                <w:bCs/>
                <w:color w:val="FFFFFF"/>
                <w:sz w:val="22"/>
                <w:szCs w:val="22"/>
              </w:rPr>
              <w:t xml:space="preserve">#</w:t>
            </w:r>
          </w:p>
        </w:tc>
        <w:tc>
          <w:tcPr>
            <w:tcW w:type="dxa" w:w="4500"/>
            <w:shd w:fill="1F4E79" w:val="clear"/>
            <w:vAlign w:val="center"/>
          </w:tcPr>
          <w:p>
            <w:pPr>
              <w:jc w:val="left"/>
            </w:pPr>
            <w:r>
              <w:rPr>
                <w:rFonts w:ascii="Calibri" w:cs="Calibri" w:eastAsia="Calibri" w:hAnsi="Calibri"/>
                <w:b/>
                <w:bCs/>
                <w:color w:val="FFFFFF"/>
                <w:sz w:val="22"/>
                <w:szCs w:val="22"/>
              </w:rPr>
              <w:t xml:space="preserve">Risk Indicator</w:t>
            </w:r>
          </w:p>
        </w:tc>
        <w:tc>
          <w:tcPr>
            <w:tcW w:type="dxa" w:w="4000"/>
            <w:shd w:fill="1F4E79" w:val="clear"/>
            <w:vAlign w:val="center"/>
          </w:tcPr>
          <w:p>
            <w:pPr>
              <w:jc w:val="left"/>
            </w:pPr>
            <w:r>
              <w:rPr>
                <w:rFonts w:ascii="Calibri" w:cs="Calibri" w:eastAsia="Calibri" w:hAnsi="Calibri"/>
                <w:b/>
                <w:bCs/>
                <w:color w:val="FFFFFF"/>
                <w:sz w:val="22"/>
                <w:szCs w:val="22"/>
              </w:rPr>
              <w:t xml:space="preserve">Action Required</w:t>
            </w:r>
          </w:p>
        </w:tc>
      </w:tr>
      <w:tr>
        <w:tc>
          <w:tcPr>
            <w:tcW w:type="dxa" w:w="500"/>
            <w:vAlign w:val="center"/>
          </w:tcPr>
          <w:p>
            <w:pPr>
              <w:jc w:val="left"/>
            </w:pPr>
            <w:r>
              <w:rPr>
                <w:rFonts w:ascii="Calibri" w:cs="Calibri" w:eastAsia="Calibri" w:hAnsi="Calibri"/>
                <w:b w:val="false"/>
                <w:bCs w:val="false"/>
                <w:color w:val="000000"/>
                <w:sz w:val="22"/>
                <w:szCs w:val="22"/>
              </w:rPr>
              <w:t xml:space="preserve">1</w:t>
            </w:r>
          </w:p>
        </w:tc>
        <w:tc>
          <w:tcPr>
            <w:tcW w:type="dxa" w:w="4500"/>
            <w:vAlign w:val="center"/>
          </w:tcPr>
          <w:p>
            <w:pPr>
              <w:jc w:val="left"/>
            </w:pPr>
            <w:r>
              <w:rPr>
                <w:rFonts w:ascii="Calibri" w:cs="Calibri" w:eastAsia="Calibri" w:hAnsi="Calibri"/>
                <w:b w:val="false"/>
                <w:bCs w:val="false"/>
                <w:color w:val="000000"/>
                <w:sz w:val="22"/>
                <w:szCs w:val="22"/>
              </w:rPr>
              <w:t xml:space="preserve">Supplier changed address more than twice in previous 12 months</w:t>
            </w:r>
          </w:p>
        </w:tc>
        <w:tc>
          <w:tcPr>
            <w:tcW w:type="dxa" w:w="4000"/>
            <w:vAlign w:val="center"/>
          </w:tcPr>
          <w:p>
            <w:pPr>
              <w:jc w:val="left"/>
            </w:pPr>
            <w:r>
              <w:rPr>
                <w:rFonts w:ascii="Calibri" w:cs="Calibri" w:eastAsia="Calibri" w:hAnsi="Calibri"/>
                <w:b w:val="false"/>
                <w:bCs w:val="false"/>
                <w:color w:val="000000"/>
                <w:sz w:val="22"/>
                <w:szCs w:val="22"/>
              </w:rPr>
              <w:t xml:space="preserve">Retain clear and justified explanation; submit to FTA upon request</w:t>
            </w:r>
          </w:p>
        </w:tc>
      </w:tr>
      <w:tr>
        <w:tc>
          <w:tcPr>
            <w:tcW w:type="dxa" w:w="500"/>
            <w:vAlign w:val="center"/>
          </w:tcPr>
          <w:p>
            <w:pPr>
              <w:jc w:val="left"/>
            </w:pPr>
            <w:r>
              <w:rPr>
                <w:rFonts w:ascii="Calibri" w:cs="Calibri" w:eastAsia="Calibri" w:hAnsi="Calibri"/>
                <w:b w:val="false"/>
                <w:bCs w:val="false"/>
                <w:color w:val="000000"/>
                <w:sz w:val="22"/>
                <w:szCs w:val="22"/>
              </w:rPr>
              <w:t xml:space="preserve">2</w:t>
            </w:r>
          </w:p>
        </w:tc>
        <w:tc>
          <w:tcPr>
            <w:tcW w:type="dxa" w:w="4500"/>
            <w:vAlign w:val="center"/>
          </w:tcPr>
          <w:p>
            <w:pPr>
              <w:jc w:val="left"/>
            </w:pPr>
            <w:r>
              <w:rPr>
                <w:rFonts w:ascii="Calibri" w:cs="Calibri" w:eastAsia="Calibri" w:hAnsi="Calibri"/>
                <w:b w:val="false"/>
                <w:bCs w:val="false"/>
                <w:color w:val="000000"/>
                <w:sz w:val="22"/>
                <w:szCs w:val="22"/>
              </w:rPr>
              <w:t xml:space="preserve">Supplier changed key employees / managers more than twice in previous 12 months</w:t>
            </w:r>
          </w:p>
        </w:tc>
        <w:tc>
          <w:tcPr>
            <w:tcW w:type="dxa" w:w="4000"/>
            <w:vAlign w:val="center"/>
          </w:tcPr>
          <w:p>
            <w:pPr>
              <w:jc w:val="left"/>
            </w:pPr>
            <w:r>
              <w:rPr>
                <w:rFonts w:ascii="Calibri" w:cs="Calibri" w:eastAsia="Calibri" w:hAnsi="Calibri"/>
                <w:b w:val="false"/>
                <w:bCs w:val="false"/>
                <w:color w:val="000000"/>
                <w:sz w:val="22"/>
                <w:szCs w:val="22"/>
              </w:rPr>
              <w:t xml:space="preserve">Retain clear and justified explanation; submit to FTA upon request</w:t>
            </w:r>
          </w:p>
        </w:tc>
      </w:tr>
      <w:tr>
        <w:tc>
          <w:tcPr>
            <w:tcW w:type="dxa" w:w="500"/>
            <w:vAlign w:val="center"/>
          </w:tcPr>
          <w:p>
            <w:pPr>
              <w:jc w:val="left"/>
            </w:pPr>
            <w:r>
              <w:rPr>
                <w:rFonts w:ascii="Calibri" w:cs="Calibri" w:eastAsia="Calibri" w:hAnsi="Calibri"/>
                <w:b w:val="false"/>
                <w:bCs w:val="false"/>
                <w:color w:val="000000"/>
                <w:sz w:val="22"/>
                <w:szCs w:val="22"/>
              </w:rPr>
              <w:t xml:space="preserve">3</w:t>
            </w:r>
          </w:p>
        </w:tc>
        <w:tc>
          <w:tcPr>
            <w:tcW w:type="dxa" w:w="4500"/>
            <w:vAlign w:val="center"/>
          </w:tcPr>
          <w:p>
            <w:pPr>
              <w:jc w:val="left"/>
            </w:pPr>
            <w:r>
              <w:rPr>
                <w:rFonts w:ascii="Calibri" w:cs="Calibri" w:eastAsia="Calibri" w:hAnsi="Calibri"/>
                <w:b w:val="false"/>
                <w:bCs w:val="false"/>
                <w:color w:val="000000"/>
                <w:sz w:val="22"/>
                <w:szCs w:val="22"/>
              </w:rPr>
              <w:t xml:space="preserve">Disproportionate or unexpected transactions relative to supplier size and history</w:t>
            </w:r>
          </w:p>
        </w:tc>
        <w:tc>
          <w:tcPr>
            <w:tcW w:type="dxa" w:w="4000"/>
            <w:vAlign w:val="center"/>
          </w:tcPr>
          <w:p>
            <w:pPr>
              <w:jc w:val="left"/>
            </w:pPr>
            <w:r>
              <w:rPr>
                <w:rFonts w:ascii="Calibri" w:cs="Calibri" w:eastAsia="Calibri" w:hAnsi="Calibri"/>
                <w:b w:val="false"/>
                <w:bCs w:val="false"/>
                <w:color w:val="000000"/>
                <w:sz w:val="22"/>
                <w:szCs w:val="22"/>
              </w:rPr>
              <w:t xml:space="preserve">Retain clear and justified explanation; must not contradict available evidence</w:t>
            </w:r>
          </w:p>
        </w:tc>
      </w:tr>
    </w:tbl>
    <w:p>
      <w:pPr>
        <w:spacing w:after="120"/>
        <w:jc w:val="left"/>
      </w:pPr>
      <w:r>
        <w:rPr>
          <w:rFonts w:ascii="Calibri" w:cs="Calibri" w:eastAsia="Calibri" w:hAnsi="Calibri"/>
          <w:sz w:val="22"/>
          <w:szCs w:val="22"/>
        </w:rPr>
        <w:t xml:space="preserve"/>
      </w:r>
    </w:p>
    <w:p>
      <w:pPr>
        <w:spacing w:after="120"/>
        <w:jc w:val="left"/>
      </w:pPr>
      <w:r>
        <w:rPr>
          <w:rFonts w:ascii="Calibri" w:cs="Calibri" w:eastAsia="Calibri" w:hAnsi="Calibri"/>
          <w:sz w:val="22"/>
          <w:szCs w:val="22"/>
        </w:rPr>
        <w:t xml:space="preserve">Where any risk indicator applies, retain a clear and justified explanation. The explanation must not contradict available evidence or information, and must be submitted to the FTA upon request.</w:t>
      </w:r>
    </w:p>
    <w:p>
      <w:pPr>
        <w:spacing w:after="120"/>
        <w:jc w:val="left"/>
      </w:pPr>
      <w:r>
        <w:rPr>
          <w:rFonts w:ascii="Calibri" w:cs="Calibri" w:eastAsia="Calibri" w:hAnsi="Calibri"/>
          <w:sz w:val="22"/>
          <w:szCs w:val="22"/>
        </w:rPr>
        <w:t xml:space="preserve"/>
      </w:r>
    </w:p>
    <w:p>
      <w:pPr>
        <w:pStyle w:val="Heading2"/>
        <w:spacing w:after="120" w:before="240"/>
      </w:pPr>
      <w:r>
        <w:rPr>
          <w:rFonts w:ascii="Calibri" w:cs="Calibri" w:eastAsia="Calibri" w:hAnsi="Calibri"/>
          <w:b/>
          <w:bCs/>
          <w:color w:val="1F4E79"/>
          <w:sz w:val="24"/>
          <w:szCs w:val="24"/>
        </w:rPr>
        <w:t xml:space="preserve">5.4 Bank Account &amp; Public Review (Supplies &gt; AED 375,000/12 months)</w:t>
      </w:r>
    </w:p>
    <w:p>
      <w:pPr>
        <w:spacing w:after="120"/>
        <w:jc w:val="left"/>
      </w:pPr>
      <w:r>
        <w:rPr>
          <w:rFonts w:ascii="Calibri" w:cs="Calibri" w:eastAsia="Calibri" w:hAnsi="Calibri"/>
          <w:sz w:val="22"/>
          <w:szCs w:val="22"/>
        </w:rPr>
        <w:t xml:space="preserve">Where the value of supplies from the supplier exceeds AED 375,000 over the previous 12 months, or is expected to exceed AED 375,000 over the next 12 months:</w:t>
      </w:r>
    </w:p>
    <w:p>
      <w:pPr>
        <w:spacing w:after="80"/>
        <w:ind w:left="1080" w:hanging="360"/>
      </w:pPr>
      <w:r>
        <w:rPr>
          <w:rFonts w:ascii="Calibri" w:cs="Calibri" w:eastAsia="Calibri" w:hAnsi="Calibri"/>
          <w:b/>
          <w:bCs/>
          <w:sz w:val="22"/>
          <w:szCs w:val="22"/>
        </w:rPr>
        <w:t xml:space="preserve">a) </w:t>
      </w:r>
      <w:r>
        <w:rPr>
          <w:rFonts w:ascii="Calibri" w:cs="Calibri" w:eastAsia="Calibri" w:hAnsi="Calibri"/>
          <w:sz w:val="22"/>
          <w:szCs w:val="22"/>
        </w:rPr>
        <w:t xml:space="preserve">Obtain a written bank confirmation from an authorized bank in the UAE confirming the supplier has a bank account, free of reservations or conditions. The confirmation need not be issued to the recipient of the supply.</w:t>
      </w:r>
    </w:p>
    <w:p>
      <w:pPr>
        <w:spacing w:after="80"/>
        <w:ind w:left="1080" w:hanging="360"/>
      </w:pPr>
      <w:r>
        <w:rPr>
          <w:rFonts w:ascii="Calibri" w:cs="Calibri" w:eastAsia="Calibri" w:hAnsi="Calibri"/>
          <w:b/>
          <w:bCs/>
          <w:sz w:val="22"/>
          <w:szCs w:val="22"/>
        </w:rPr>
        <w:t xml:space="preserve">b) </w:t>
      </w:r>
      <w:r>
        <w:rPr>
          <w:rFonts w:ascii="Calibri" w:cs="Calibri" w:eastAsia="Calibri" w:hAnsi="Calibri"/>
          <w:sz w:val="22"/>
          <w:szCs w:val="22"/>
        </w:rPr>
        <w:t xml:space="preserve">Review publicly available reviews and media coverage from reliable sources, ensuring consistency with the nature and size of the supplier's business and no indicators of suspected tax evasion.</w:t>
      </w:r>
    </w:p>
    <w:p>
      <w:pPr>
        <w:pStyle w:val="Heading1"/>
        <w:spacing w:after="120" w:before="240"/>
      </w:pPr>
      <w:r>
        <w:rPr>
          <w:rFonts w:ascii="Calibri" w:cs="Calibri" w:eastAsia="Calibri" w:hAnsi="Calibri"/>
          <w:b/>
          <w:bCs/>
          <w:color w:val="1F4E79"/>
          <w:sz w:val="28"/>
          <w:szCs w:val="28"/>
        </w:rPr>
        <w:t xml:space="preserve">6. Supply Verification Requirements</w:t>
      </w:r>
    </w:p>
    <w:p>
      <w:pPr>
        <w:spacing w:after="120"/>
        <w:jc w:val="left"/>
      </w:pPr>
      <w:r>
        <w:rPr>
          <w:rFonts w:ascii="Calibri" w:cs="Calibri" w:eastAsia="Calibri" w:hAnsi="Calibri"/>
          <w:sz w:val="22"/>
          <w:szCs w:val="22"/>
        </w:rPr>
        <w:t xml:space="preserve">Each taxable supply received must be verified per FTA Decision No. 13, Article 4, before the Input Tax is claimed.</w:t>
      </w:r>
    </w:p>
    <w:p>
      <w:pPr>
        <w:spacing w:after="120"/>
        <w:jc w:val="left"/>
      </w:pPr>
      <w:r>
        <w:rPr>
          <w:rFonts w:ascii="Calibri" w:cs="Calibri" w:eastAsia="Calibri" w:hAnsi="Calibri"/>
          <w:sz w:val="22"/>
          <w:szCs w:val="22"/>
        </w:rPr>
        <w:t xml:space="preserve"/>
      </w:r>
    </w:p>
    <w:p>
      <w:pPr>
        <w:pStyle w:val="Heading2"/>
        <w:spacing w:after="120" w:before="240"/>
      </w:pPr>
      <w:r>
        <w:rPr>
          <w:rFonts w:ascii="Calibri" w:cs="Calibri" w:eastAsia="Calibri" w:hAnsi="Calibri"/>
          <w:b/>
          <w:bCs/>
          <w:color w:val="1F4E79"/>
          <w:sz w:val="24"/>
          <w:szCs w:val="24"/>
        </w:rPr>
        <w:t xml:space="preserve">6.1 General Assessment</w:t>
      </w:r>
    </w:p>
    <w:p>
      <w:pPr>
        <w:spacing w:after="80"/>
        <w:ind w:left="1080" w:hanging="360"/>
      </w:pPr>
      <w:r>
        <w:rPr>
          <w:rFonts w:ascii="Calibri" w:cs="Calibri" w:eastAsia="Calibri" w:hAnsi="Calibri"/>
          <w:b/>
          <w:bCs/>
          <w:sz w:val="22"/>
          <w:szCs w:val="22"/>
        </w:rPr>
        <w:t xml:space="preserve">a) </w:t>
      </w:r>
      <w:r>
        <w:rPr>
          <w:rFonts w:ascii="Calibri" w:cs="Calibri" w:eastAsia="Calibri" w:hAnsi="Calibri"/>
          <w:sz w:val="22"/>
          <w:szCs w:val="22"/>
        </w:rPr>
        <w:t xml:space="preserve">Conduct a general assessment of the supply conditions related to the transaction.</w:t>
      </w:r>
    </w:p>
    <w:p>
      <w:pPr>
        <w:spacing w:after="80"/>
        <w:ind w:left="1080" w:hanging="360"/>
      </w:pPr>
      <w:r>
        <w:rPr>
          <w:rFonts w:ascii="Calibri" w:cs="Calibri" w:eastAsia="Calibri" w:hAnsi="Calibri"/>
          <w:b/>
          <w:bCs/>
          <w:sz w:val="22"/>
          <w:szCs w:val="22"/>
        </w:rPr>
        <w:t xml:space="preserve">b) </w:t>
      </w:r>
      <w:r>
        <w:rPr>
          <w:rFonts w:ascii="Calibri" w:cs="Calibri" w:eastAsia="Calibri" w:hAnsi="Calibri"/>
          <w:sz w:val="22"/>
          <w:szCs w:val="22"/>
        </w:rPr>
        <w:t xml:space="preserve">Ensure the supplier's engagement in the transaction is based on genuine commercial reasons.</w:t>
      </w:r>
    </w:p>
    <w:p>
      <w:pPr>
        <w:spacing w:after="120"/>
        <w:jc w:val="left"/>
      </w:pPr>
      <w:r>
        <w:rPr>
          <w:rFonts w:ascii="Calibri" w:cs="Calibri" w:eastAsia="Calibri" w:hAnsi="Calibri"/>
          <w:sz w:val="22"/>
          <w:szCs w:val="22"/>
        </w:rPr>
        <w:t xml:space="preserve"/>
      </w:r>
    </w:p>
    <w:p>
      <w:pPr>
        <w:pStyle w:val="Heading2"/>
        <w:spacing w:after="120" w:before="240"/>
      </w:pPr>
      <w:r>
        <w:rPr>
          <w:rFonts w:ascii="Calibri" w:cs="Calibri" w:eastAsia="Calibri" w:hAnsi="Calibri"/>
          <w:b/>
          <w:bCs/>
          <w:color w:val="1F4E79"/>
          <w:sz w:val="24"/>
          <w:szCs w:val="24"/>
        </w:rPr>
        <w:t xml:space="preserve">6.2 Payment Conditions</w:t>
      </w:r>
    </w:p>
    <w:p>
      <w:pPr>
        <w:spacing w:after="80"/>
        <w:ind w:left="1080" w:hanging="360"/>
      </w:pPr>
      <w:r>
        <w:rPr>
          <w:rFonts w:ascii="Calibri" w:cs="Calibri" w:eastAsia="Calibri" w:hAnsi="Calibri"/>
          <w:b/>
          <w:bCs/>
          <w:sz w:val="22"/>
          <w:szCs w:val="22"/>
        </w:rPr>
        <w:t xml:space="preserve">a) </w:t>
      </w:r>
      <w:r>
        <w:rPr>
          <w:rFonts w:ascii="Calibri" w:cs="Calibri" w:eastAsia="Calibri" w:hAnsi="Calibri"/>
          <w:sz w:val="22"/>
          <w:szCs w:val="22"/>
        </w:rPr>
        <w:t xml:space="preserve">Payment methods must be justifiable for commercial reasons. Where a third party is involved in payment, or payment is made to a bank account outside the supplier's country of incorporation, there must be a reasonable commercial explanation.</w:t>
      </w:r>
    </w:p>
    <w:p>
      <w:pPr>
        <w:spacing w:after="80"/>
        <w:ind w:left="1080" w:hanging="360"/>
      </w:pPr>
      <w:r>
        <w:rPr>
          <w:rFonts w:ascii="Calibri" w:cs="Calibri" w:eastAsia="Calibri" w:hAnsi="Calibri"/>
          <w:b/>
          <w:bCs/>
          <w:sz w:val="22"/>
          <w:szCs w:val="22"/>
        </w:rPr>
        <w:t xml:space="preserve">b) </w:t>
      </w:r>
      <w:r>
        <w:rPr>
          <w:rFonts w:ascii="Calibri" w:cs="Calibri" w:eastAsia="Calibri" w:hAnsi="Calibri"/>
          <w:sz w:val="22"/>
          <w:szCs w:val="22"/>
        </w:rPr>
        <w:t xml:space="preserve">Payment for the supply shall be made by electronic means. Cash payments must be based on a documented commercial reason, within the thresholds specified in applicable tax legislation, and easily verifiable.</w:t>
      </w:r>
    </w:p>
    <w:p>
      <w:pPr>
        <w:spacing w:after="120"/>
        <w:jc w:val="left"/>
      </w:pPr>
      <w:r>
        <w:rPr>
          <w:rFonts w:ascii="Calibri" w:cs="Calibri" w:eastAsia="Calibri" w:hAnsi="Calibri"/>
          <w:sz w:val="22"/>
          <w:szCs w:val="22"/>
        </w:rPr>
        <w:t xml:space="preserve"/>
      </w:r>
    </w:p>
    <w:p>
      <w:pPr>
        <w:pStyle w:val="Heading2"/>
        <w:spacing w:after="120" w:before="240"/>
      </w:pPr>
      <w:r>
        <w:rPr>
          <w:rFonts w:ascii="Calibri" w:cs="Calibri" w:eastAsia="Calibri" w:hAnsi="Calibri"/>
          <w:b/>
          <w:bCs/>
          <w:color w:val="1F4E79"/>
          <w:sz w:val="24"/>
          <w:szCs w:val="24"/>
        </w:rPr>
        <w:t xml:space="preserve">6.3 Supply Circumstances</w:t>
      </w:r>
    </w:p>
    <w:p>
      <w:pPr>
        <w:spacing w:after="80"/>
        <w:ind w:left="1080" w:hanging="360"/>
      </w:pPr>
      <w:r>
        <w:rPr>
          <w:rFonts w:ascii="Calibri" w:cs="Calibri" w:eastAsia="Calibri" w:hAnsi="Calibri"/>
          <w:b/>
          <w:bCs/>
          <w:sz w:val="22"/>
          <w:szCs w:val="22"/>
        </w:rPr>
        <w:t xml:space="preserve">a) </w:t>
      </w:r>
      <w:r>
        <w:rPr>
          <w:rFonts w:ascii="Calibri" w:cs="Calibri" w:eastAsia="Calibri" w:hAnsi="Calibri"/>
          <w:sz w:val="22"/>
          <w:szCs w:val="22"/>
        </w:rPr>
        <w:t xml:space="preserve">Verify that prices or profit margins are not commercially unjustifiable or significantly different from market conditions without clear reason.</w:t>
      </w:r>
    </w:p>
    <w:p>
      <w:pPr>
        <w:spacing w:after="80"/>
        <w:ind w:left="1080" w:hanging="360"/>
      </w:pPr>
      <w:r>
        <w:rPr>
          <w:rFonts w:ascii="Calibri" w:cs="Calibri" w:eastAsia="Calibri" w:hAnsi="Calibri"/>
          <w:b/>
          <w:bCs/>
          <w:sz w:val="22"/>
          <w:szCs w:val="22"/>
        </w:rPr>
        <w:t xml:space="preserve">b) </w:t>
      </w:r>
      <w:r>
        <w:rPr>
          <w:rFonts w:ascii="Calibri" w:cs="Calibri" w:eastAsia="Calibri" w:hAnsi="Calibri"/>
          <w:sz w:val="22"/>
          <w:szCs w:val="22"/>
        </w:rPr>
        <w:t xml:space="preserve">Verify that supplies do not fall outside the supplier's ordinary activity or licensed commercial activities.</w:t>
      </w:r>
    </w:p>
    <w:p>
      <w:pPr>
        <w:spacing w:after="80"/>
        <w:ind w:left="1080" w:hanging="360"/>
      </w:pPr>
      <w:r>
        <w:rPr>
          <w:rFonts w:ascii="Calibri" w:cs="Calibri" w:eastAsia="Calibri" w:hAnsi="Calibri"/>
          <w:b/>
          <w:bCs/>
          <w:sz w:val="22"/>
          <w:szCs w:val="22"/>
        </w:rPr>
        <w:t xml:space="preserve">c) </w:t>
      </w:r>
      <w:r>
        <w:rPr>
          <w:rFonts w:ascii="Calibri" w:cs="Calibri" w:eastAsia="Calibri" w:hAnsi="Calibri"/>
          <w:sz w:val="22"/>
          <w:szCs w:val="22"/>
        </w:rPr>
        <w:t xml:space="preserve">Verify the authenticity and origin of goods received, and the supplier's ownership or right to dispose of the goods.</w:t>
      </w:r>
    </w:p>
    <w:p>
      <w:pPr>
        <w:spacing w:after="80"/>
        <w:ind w:left="1080" w:hanging="360"/>
      </w:pPr>
      <w:r>
        <w:rPr>
          <w:rFonts w:ascii="Calibri" w:cs="Calibri" w:eastAsia="Calibri" w:hAnsi="Calibri"/>
          <w:b/>
          <w:bCs/>
          <w:sz w:val="22"/>
          <w:szCs w:val="22"/>
        </w:rPr>
        <w:t xml:space="preserve">d) </w:t>
      </w:r>
      <w:r>
        <w:rPr>
          <w:rFonts w:ascii="Calibri" w:cs="Calibri" w:eastAsia="Calibri" w:hAnsi="Calibri"/>
          <w:sz w:val="22"/>
          <w:szCs w:val="22"/>
        </w:rPr>
        <w:t xml:space="preserve">Where the supplier acts as an intermediary, verify there is a clear and justifiable commercial explanation for the supplier's role in the supply.</w:t>
      </w:r>
    </w:p>
    <w:p>
      <w:pPr>
        <w:pStyle w:val="Heading1"/>
        <w:spacing w:after="120" w:before="240"/>
      </w:pPr>
      <w:r>
        <w:rPr>
          <w:rFonts w:ascii="Calibri" w:cs="Calibri" w:eastAsia="Calibri" w:hAnsi="Calibri"/>
          <w:b/>
          <w:bCs/>
          <w:color w:val="1F4E79"/>
          <w:sz w:val="28"/>
          <w:szCs w:val="28"/>
        </w:rPr>
        <w:t xml:space="preserve">7. Verification Procedures</w:t>
      </w:r>
    </w:p>
    <w:p>
      <w:pPr>
        <w:spacing w:after="120"/>
        <w:jc w:val="left"/>
      </w:pPr>
      <w:r>
        <w:rPr>
          <w:rFonts w:ascii="Calibri" w:cs="Calibri" w:eastAsia="Calibri" w:hAnsi="Calibri"/>
          <w:sz w:val="22"/>
          <w:szCs w:val="22"/>
        </w:rPr>
        <w:t xml:space="preserve">For each supplier and each supply received, the following procedures must be followed:</w:t>
      </w:r>
    </w:p>
    <w:p>
      <w:pPr>
        <w:spacing w:after="80"/>
        <w:ind w:left="720" w:hanging="360"/>
      </w:pPr>
      <w:r>
        <w:rPr>
          <w:rFonts w:ascii="Calibri" w:cs="Calibri" w:eastAsia="Calibri" w:hAnsi="Calibri"/>
          <w:b/>
          <w:bCs/>
          <w:sz w:val="22"/>
          <w:szCs w:val="22"/>
        </w:rPr>
        <w:t xml:space="preserve">1. </w:t>
      </w:r>
      <w:r>
        <w:rPr>
          <w:rFonts w:ascii="Calibri" w:cs="Calibri" w:eastAsia="Calibri" w:hAnsi="Calibri"/>
          <w:sz w:val="22"/>
          <w:szCs w:val="22"/>
        </w:rPr>
        <w:t xml:space="preserve">Verify the supplier in accordance with Section 5 of this policy when dealing with the supplier for the first time, or upon recurrent dealings where the supplier has not been verified in the previous 12 months.</w:t>
      </w:r>
    </w:p>
    <w:p>
      <w:pPr>
        <w:spacing w:after="80"/>
        <w:ind w:left="720" w:hanging="360"/>
      </w:pPr>
      <w:r>
        <w:rPr>
          <w:rFonts w:ascii="Calibri" w:cs="Calibri" w:eastAsia="Calibri" w:hAnsi="Calibri"/>
          <w:b/>
          <w:bCs/>
          <w:sz w:val="22"/>
          <w:szCs w:val="22"/>
        </w:rPr>
        <w:t xml:space="preserve">2. </w:t>
      </w:r>
      <w:r>
        <w:rPr>
          <w:rFonts w:ascii="Calibri" w:cs="Calibri" w:eastAsia="Calibri" w:hAnsi="Calibri"/>
          <w:sz w:val="22"/>
          <w:szCs w:val="22"/>
        </w:rPr>
        <w:t xml:space="preserve">Verify each taxable supply received or accepted in accordance with Section 6 of this policy.</w:t>
      </w:r>
    </w:p>
    <w:p>
      <w:pPr>
        <w:spacing w:after="80"/>
        <w:ind w:left="720" w:hanging="360"/>
      </w:pPr>
      <w:r>
        <w:rPr>
          <w:rFonts w:ascii="Calibri" w:cs="Calibri" w:eastAsia="Calibri" w:hAnsi="Calibri"/>
          <w:b/>
          <w:bCs/>
          <w:sz w:val="22"/>
          <w:szCs w:val="22"/>
        </w:rPr>
        <w:t xml:space="preserve">3. </w:t>
      </w:r>
      <w:r>
        <w:rPr>
          <w:rFonts w:ascii="Calibri" w:cs="Calibri" w:eastAsia="Calibri" w:hAnsi="Calibri"/>
          <w:sz w:val="22"/>
          <w:szCs w:val="22"/>
        </w:rPr>
        <w:t xml:space="preserve">Document all verification steps taken and retain supporting documents and records, enabling the FTA to verify the correctness of implementation.</w:t>
      </w:r>
    </w:p>
    <w:p>
      <w:pPr>
        <w:spacing w:after="80"/>
        <w:ind w:left="720" w:hanging="360"/>
      </w:pPr>
      <w:r>
        <w:rPr>
          <w:rFonts w:ascii="Calibri" w:cs="Calibri" w:eastAsia="Calibri" w:hAnsi="Calibri"/>
          <w:b/>
          <w:bCs/>
          <w:sz w:val="22"/>
          <w:szCs w:val="22"/>
        </w:rPr>
        <w:t xml:space="preserve">4. </w:t>
      </w:r>
      <w:r>
        <w:rPr>
          <w:rFonts w:ascii="Calibri" w:cs="Calibri" w:eastAsia="Calibri" w:hAnsi="Calibri"/>
          <w:sz w:val="22"/>
          <w:szCs w:val="22"/>
        </w:rPr>
        <w:t xml:space="preserve">Maintain this documented policy identifying the persons responsible for implementing, reviewing, and supervising the verification procedures, including their powers and responsibilities. This policy shall be retained at the designated location for document retention.</w:t>
      </w:r>
    </w:p>
    <w:p>
      <w:pPr>
        <w:pStyle w:val="Heading1"/>
        <w:spacing w:after="120" w:before="240"/>
      </w:pPr>
      <w:r>
        <w:rPr>
          <w:rFonts w:ascii="Calibri" w:cs="Calibri" w:eastAsia="Calibri" w:hAnsi="Calibri"/>
          <w:b/>
          <w:bCs/>
          <w:color w:val="1F4E79"/>
          <w:sz w:val="28"/>
          <w:szCs w:val="28"/>
        </w:rPr>
        <w:t xml:space="preserve">8. Roles &amp; Responsibilities</w:t>
      </w:r>
    </w:p>
    <w:p>
      <w:pPr>
        <w:spacing w:after="120"/>
        <w:jc w:val="left"/>
      </w:pPr>
      <w:r>
        <w:rPr>
          <w:rFonts w:ascii="Calibri" w:cs="Calibri" w:eastAsia="Calibri" w:hAnsi="Calibri"/>
          <w:sz w:val="22"/>
          <w:szCs w:val="22"/>
        </w:rP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000"/>
        <w:gridCol w:w="1500"/>
        <w:gridCol w:w="1500"/>
        <w:gridCol w:w="1500"/>
        <w:gridCol w:w="1500"/>
      </w:tblGrid>
      <w:tr>
        <w:tc>
          <w:tcPr>
            <w:tcW w:type="dxa" w:w="3000"/>
            <w:shd w:fill="1F4E79" w:val="clear"/>
            <w:vAlign w:val="center"/>
          </w:tcPr>
          <w:p>
            <w:pPr>
              <w:jc w:val="left"/>
            </w:pPr>
            <w:r>
              <w:rPr>
                <w:rFonts w:ascii="Calibri" w:cs="Calibri" w:eastAsia="Calibri" w:hAnsi="Calibri"/>
                <w:b/>
                <w:bCs/>
                <w:color w:val="FFFFFF"/>
                <w:sz w:val="22"/>
                <w:szCs w:val="22"/>
              </w:rPr>
              <w:t xml:space="preserve">Activity</w:t>
            </w:r>
          </w:p>
        </w:tc>
        <w:tc>
          <w:tcPr>
            <w:tcW w:type="dxa" w:w="1500"/>
            <w:shd w:fill="1F4E79" w:val="clear"/>
            <w:vAlign w:val="center"/>
          </w:tcPr>
          <w:p>
            <w:pPr>
              <w:jc w:val="left"/>
            </w:pPr>
            <w:r>
              <w:rPr>
                <w:rFonts w:ascii="Calibri" w:cs="Calibri" w:eastAsia="Calibri" w:hAnsi="Calibri"/>
                <w:b/>
                <w:bCs/>
                <w:color w:val="FFFFFF"/>
                <w:sz w:val="22"/>
                <w:szCs w:val="22"/>
              </w:rPr>
              <w:t xml:space="preserve">Procurement</w:t>
            </w:r>
          </w:p>
        </w:tc>
        <w:tc>
          <w:tcPr>
            <w:tcW w:type="dxa" w:w="1500"/>
            <w:shd w:fill="1F4E79" w:val="clear"/>
            <w:vAlign w:val="center"/>
          </w:tcPr>
          <w:p>
            <w:pPr>
              <w:jc w:val="left"/>
            </w:pPr>
            <w:r>
              <w:rPr>
                <w:rFonts w:ascii="Calibri" w:cs="Calibri" w:eastAsia="Calibri" w:hAnsi="Calibri"/>
                <w:b/>
                <w:bCs/>
                <w:color w:val="FFFFFF"/>
                <w:sz w:val="22"/>
                <w:szCs w:val="22"/>
              </w:rPr>
              <w:t xml:space="preserve">Finance / Tax</w:t>
            </w:r>
          </w:p>
        </w:tc>
        <w:tc>
          <w:tcPr>
            <w:tcW w:type="dxa" w:w="1500"/>
            <w:shd w:fill="1F4E79" w:val="clear"/>
            <w:vAlign w:val="center"/>
          </w:tcPr>
          <w:p>
            <w:pPr>
              <w:jc w:val="left"/>
            </w:pPr>
            <w:r>
              <w:rPr>
                <w:rFonts w:ascii="Calibri" w:cs="Calibri" w:eastAsia="Calibri" w:hAnsi="Calibri"/>
                <w:b/>
                <w:bCs/>
                <w:color w:val="FFFFFF"/>
                <w:sz w:val="22"/>
                <w:szCs w:val="22"/>
              </w:rPr>
              <w:t xml:space="preserve">BU Requester</w:t>
            </w:r>
          </w:p>
        </w:tc>
        <w:tc>
          <w:tcPr>
            <w:tcW w:type="dxa" w:w="1500"/>
            <w:shd w:fill="1F4E79" w:val="clear"/>
            <w:vAlign w:val="center"/>
          </w:tcPr>
          <w:p>
            <w:pPr>
              <w:jc w:val="left"/>
            </w:pPr>
            <w:r>
              <w:rPr>
                <w:rFonts w:ascii="Calibri" w:cs="Calibri" w:eastAsia="Calibri" w:hAnsi="Calibri"/>
                <w:b/>
                <w:bCs/>
                <w:color w:val="FFFFFF"/>
                <w:sz w:val="22"/>
                <w:szCs w:val="22"/>
              </w:rPr>
              <w:t xml:space="preserve">GSC</w:t>
            </w:r>
          </w:p>
        </w:tc>
      </w:tr>
      <w:tr>
        <w:tc>
          <w:tcPr>
            <w:tcW w:type="dxa" w:w="3000"/>
            <w:vAlign w:val="center"/>
          </w:tcPr>
          <w:p>
            <w:pPr>
              <w:jc w:val="left"/>
            </w:pPr>
            <w:r>
              <w:rPr>
                <w:rFonts w:ascii="Calibri" w:cs="Calibri" w:eastAsia="Calibri" w:hAnsi="Calibri"/>
                <w:b w:val="false"/>
                <w:bCs w:val="false"/>
                <w:color w:val="000000"/>
                <w:sz w:val="22"/>
                <w:szCs w:val="22"/>
              </w:rPr>
              <w:t xml:space="preserve">Supplier identity verification</w:t>
            </w:r>
          </w:p>
        </w:tc>
        <w:tc>
          <w:tcPr>
            <w:tcW w:type="dxa" w:w="1500"/>
            <w:vAlign w:val="center"/>
          </w:tcPr>
          <w:p>
            <w:pPr>
              <w:jc w:val="left"/>
            </w:pPr>
            <w:r>
              <w:rPr>
                <w:rFonts w:ascii="Calibri" w:cs="Calibri" w:eastAsia="Calibri" w:hAnsi="Calibri"/>
                <w:b w:val="false"/>
                <w:bCs w:val="false"/>
                <w:color w:val="000000"/>
                <w:sz w:val="22"/>
                <w:szCs w:val="22"/>
              </w:rPr>
              <w:t xml:space="preserve">R</w:t>
            </w:r>
          </w:p>
        </w:tc>
        <w:tc>
          <w:tcPr>
            <w:tcW w:type="dxa" w:w="1500"/>
            <w:vAlign w:val="center"/>
          </w:tcPr>
          <w:p>
            <w:pPr>
              <w:jc w:val="left"/>
            </w:pPr>
            <w:r>
              <w:rPr>
                <w:rFonts w:ascii="Calibri" w:cs="Calibri" w:eastAsia="Calibri" w:hAnsi="Calibri"/>
                <w:b w:val="false"/>
                <w:bCs w:val="false"/>
                <w:color w:val="000000"/>
                <w:sz w:val="22"/>
                <w:szCs w:val="22"/>
              </w:rPr>
              <w:t xml:space="preserve">C</w:t>
            </w:r>
          </w:p>
        </w:tc>
        <w:tc>
          <w:tcPr>
            <w:tcW w:type="dxa" w:w="1500"/>
            <w:vAlign w:val="center"/>
          </w:tcPr>
          <w:p>
            <w:pPr>
              <w:jc w:val="left"/>
            </w:pPr>
            <w:r>
              <w:rPr>
                <w:rFonts w:ascii="Calibri" w:cs="Calibri" w:eastAsia="Calibri" w:hAnsi="Calibri"/>
                <w:b w:val="false"/>
                <w:bCs w:val="false"/>
                <w:color w:val="000000"/>
                <w:sz w:val="22"/>
                <w:szCs w:val="22"/>
              </w:rPr>
              <w:t xml:space="preserve">I</w:t>
            </w:r>
          </w:p>
        </w:tc>
        <w:tc>
          <w:tcPr>
            <w:tcW w:type="dxa" w:w="1500"/>
            <w:vAlign w:val="center"/>
          </w:tcPr>
          <w:p>
            <w:pPr>
              <w:jc w:val="left"/>
            </w:pPr>
            <w:r>
              <w:rPr>
                <w:rFonts w:ascii="Calibri" w:cs="Calibri" w:eastAsia="Calibri" w:hAnsi="Calibri"/>
                <w:b w:val="false"/>
                <w:bCs w:val="false"/>
                <w:color w:val="000000"/>
                <w:sz w:val="22"/>
                <w:szCs w:val="22"/>
              </w:rPr>
              <w:t xml:space="preserve">A</w:t>
            </w:r>
          </w:p>
        </w:tc>
      </w:tr>
      <w:tr>
        <w:tc>
          <w:tcPr>
            <w:tcW w:type="dxa" w:w="3000"/>
            <w:vAlign w:val="center"/>
          </w:tcPr>
          <w:p>
            <w:pPr>
              <w:jc w:val="left"/>
            </w:pPr>
            <w:r>
              <w:rPr>
                <w:rFonts w:ascii="Calibri" w:cs="Calibri" w:eastAsia="Calibri" w:hAnsi="Calibri"/>
                <w:b w:val="false"/>
                <w:bCs w:val="false"/>
                <w:color w:val="000000"/>
                <w:sz w:val="22"/>
                <w:szCs w:val="22"/>
              </w:rPr>
              <w:t xml:space="preserve">Address / place of business check</w:t>
            </w:r>
          </w:p>
        </w:tc>
        <w:tc>
          <w:tcPr>
            <w:tcW w:type="dxa" w:w="1500"/>
            <w:vAlign w:val="center"/>
          </w:tcPr>
          <w:p>
            <w:pPr>
              <w:jc w:val="left"/>
            </w:pPr>
            <w:r>
              <w:rPr>
                <w:rFonts w:ascii="Calibri" w:cs="Calibri" w:eastAsia="Calibri" w:hAnsi="Calibri"/>
                <w:b w:val="false"/>
                <w:bCs w:val="false"/>
                <w:color w:val="000000"/>
                <w:sz w:val="22"/>
                <w:szCs w:val="22"/>
              </w:rPr>
              <w:t xml:space="preserve">R</w:t>
            </w:r>
          </w:p>
        </w:tc>
        <w:tc>
          <w:tcPr>
            <w:tcW w:type="dxa" w:w="1500"/>
            <w:vAlign w:val="center"/>
          </w:tcPr>
          <w:p>
            <w:pPr>
              <w:jc w:val="left"/>
            </w:pPr>
            <w:r>
              <w:rPr>
                <w:rFonts w:ascii="Calibri" w:cs="Calibri" w:eastAsia="Calibri" w:hAnsi="Calibri"/>
                <w:b w:val="false"/>
                <w:bCs w:val="false"/>
                <w:color w:val="000000"/>
                <w:sz w:val="22"/>
                <w:szCs w:val="22"/>
              </w:rPr>
              <w:t xml:space="preserve">C</w:t>
            </w:r>
          </w:p>
        </w:tc>
        <w:tc>
          <w:tcPr>
            <w:tcW w:type="dxa" w:w="1500"/>
            <w:vAlign w:val="center"/>
          </w:tcPr>
          <w:p>
            <w:pPr>
              <w:jc w:val="left"/>
            </w:pPr>
            <w:r>
              <w:rPr>
                <w:rFonts w:ascii="Calibri" w:cs="Calibri" w:eastAsia="Calibri" w:hAnsi="Calibri"/>
                <w:b w:val="false"/>
                <w:bCs w:val="false"/>
                <w:color w:val="000000"/>
                <w:sz w:val="22"/>
                <w:szCs w:val="22"/>
              </w:rPr>
              <w:t xml:space="preserve">I</w:t>
            </w:r>
          </w:p>
        </w:tc>
        <w:tc>
          <w:tcPr>
            <w:tcW w:type="dxa" w:w="1500"/>
            <w:vAlign w:val="center"/>
          </w:tcPr>
          <w:p>
            <w:pPr>
              <w:jc w:val="left"/>
            </w:pPr>
            <w:r>
              <w:rPr>
                <w:rFonts w:ascii="Calibri" w:cs="Calibri" w:eastAsia="Calibri" w:hAnsi="Calibri"/>
                <w:b w:val="false"/>
                <w:bCs w:val="false"/>
                <w:color w:val="000000"/>
                <w:sz w:val="22"/>
                <w:szCs w:val="22"/>
              </w:rPr>
              <w:t xml:space="preserve">A</w:t>
            </w:r>
          </w:p>
        </w:tc>
      </w:tr>
      <w:tr>
        <w:tc>
          <w:tcPr>
            <w:tcW w:type="dxa" w:w="3000"/>
            <w:vAlign w:val="center"/>
          </w:tcPr>
          <w:p>
            <w:pPr>
              <w:jc w:val="left"/>
            </w:pPr>
            <w:r>
              <w:rPr>
                <w:rFonts w:ascii="Calibri" w:cs="Calibri" w:eastAsia="Calibri" w:hAnsi="Calibri"/>
                <w:b w:val="false"/>
                <w:bCs w:val="false"/>
                <w:color w:val="000000"/>
                <w:sz w:val="22"/>
                <w:szCs w:val="22"/>
              </w:rPr>
              <w:t xml:space="preserve">Risk indicator assessment</w:t>
            </w:r>
          </w:p>
        </w:tc>
        <w:tc>
          <w:tcPr>
            <w:tcW w:type="dxa" w:w="1500"/>
            <w:vAlign w:val="center"/>
          </w:tcPr>
          <w:p>
            <w:pPr>
              <w:jc w:val="left"/>
            </w:pPr>
            <w:r>
              <w:rPr>
                <w:rFonts w:ascii="Calibri" w:cs="Calibri" w:eastAsia="Calibri" w:hAnsi="Calibri"/>
                <w:b w:val="false"/>
                <w:bCs w:val="false"/>
                <w:color w:val="000000"/>
                <w:sz w:val="22"/>
                <w:szCs w:val="22"/>
              </w:rPr>
              <w:t xml:space="preserve">R</w:t>
            </w:r>
          </w:p>
        </w:tc>
        <w:tc>
          <w:tcPr>
            <w:tcW w:type="dxa" w:w="1500"/>
            <w:vAlign w:val="center"/>
          </w:tcPr>
          <w:p>
            <w:pPr>
              <w:jc w:val="left"/>
            </w:pPr>
            <w:r>
              <w:rPr>
                <w:rFonts w:ascii="Calibri" w:cs="Calibri" w:eastAsia="Calibri" w:hAnsi="Calibri"/>
                <w:b w:val="false"/>
                <w:bCs w:val="false"/>
                <w:color w:val="000000"/>
                <w:sz w:val="22"/>
                <w:szCs w:val="22"/>
              </w:rPr>
              <w:t xml:space="preserve">C</w:t>
            </w:r>
          </w:p>
        </w:tc>
        <w:tc>
          <w:tcPr>
            <w:tcW w:type="dxa" w:w="1500"/>
            <w:vAlign w:val="center"/>
          </w:tcPr>
          <w:p>
            <w:pPr>
              <w:jc w:val="left"/>
            </w:pPr>
            <w:r>
              <w:rPr>
                <w:rFonts w:ascii="Calibri" w:cs="Calibri" w:eastAsia="Calibri" w:hAnsi="Calibri"/>
                <w:b w:val="false"/>
                <w:bCs w:val="false"/>
                <w:color w:val="000000"/>
                <w:sz w:val="22"/>
                <w:szCs w:val="22"/>
              </w:rPr>
              <w:t xml:space="preserve">I</w:t>
            </w:r>
          </w:p>
        </w:tc>
        <w:tc>
          <w:tcPr>
            <w:tcW w:type="dxa" w:w="1500"/>
            <w:vAlign w:val="center"/>
          </w:tcPr>
          <w:p>
            <w:pPr>
              <w:jc w:val="left"/>
            </w:pPr>
            <w:r>
              <w:rPr>
                <w:rFonts w:ascii="Calibri" w:cs="Calibri" w:eastAsia="Calibri" w:hAnsi="Calibri"/>
                <w:b w:val="false"/>
                <w:bCs w:val="false"/>
                <w:color w:val="000000"/>
                <w:sz w:val="22"/>
                <w:szCs w:val="22"/>
              </w:rPr>
              <w:t xml:space="preserve">A</w:t>
            </w:r>
          </w:p>
        </w:tc>
      </w:tr>
      <w:tr>
        <w:tc>
          <w:tcPr>
            <w:tcW w:type="dxa" w:w="3000"/>
            <w:vAlign w:val="center"/>
          </w:tcPr>
          <w:p>
            <w:pPr>
              <w:jc w:val="left"/>
            </w:pPr>
            <w:r>
              <w:rPr>
                <w:rFonts w:ascii="Calibri" w:cs="Calibri" w:eastAsia="Calibri" w:hAnsi="Calibri"/>
                <w:b w:val="false"/>
                <w:bCs w:val="false"/>
                <w:color w:val="000000"/>
                <w:sz w:val="22"/>
                <w:szCs w:val="22"/>
              </w:rPr>
              <w:t xml:space="preserve">Bank account verification (&gt;375K)</w:t>
            </w:r>
          </w:p>
        </w:tc>
        <w:tc>
          <w:tcPr>
            <w:tcW w:type="dxa" w:w="1500"/>
            <w:vAlign w:val="center"/>
          </w:tcPr>
          <w:p>
            <w:pPr>
              <w:jc w:val="left"/>
            </w:pPr>
            <w:r>
              <w:rPr>
                <w:rFonts w:ascii="Calibri" w:cs="Calibri" w:eastAsia="Calibri" w:hAnsi="Calibri"/>
                <w:b w:val="false"/>
                <w:bCs w:val="false"/>
                <w:color w:val="000000"/>
                <w:sz w:val="22"/>
                <w:szCs w:val="22"/>
              </w:rPr>
              <w:t xml:space="preserve">R</w:t>
            </w:r>
          </w:p>
        </w:tc>
        <w:tc>
          <w:tcPr>
            <w:tcW w:type="dxa" w:w="1500"/>
            <w:vAlign w:val="center"/>
          </w:tcPr>
          <w:p>
            <w:pPr>
              <w:jc w:val="left"/>
            </w:pPr>
            <w:r>
              <w:rPr>
                <w:rFonts w:ascii="Calibri" w:cs="Calibri" w:eastAsia="Calibri" w:hAnsi="Calibri"/>
                <w:b w:val="false"/>
                <w:bCs w:val="false"/>
                <w:color w:val="000000"/>
                <w:sz w:val="22"/>
                <w:szCs w:val="22"/>
              </w:rPr>
              <w:t xml:space="preserve">R</w:t>
            </w:r>
          </w:p>
        </w:tc>
        <w:tc>
          <w:tcPr>
            <w:tcW w:type="dxa" w:w="1500"/>
            <w:vAlign w:val="center"/>
          </w:tcPr>
          <w:p>
            <w:pPr>
              <w:jc w:val="left"/>
            </w:pPr>
            <w:r>
              <w:rPr>
                <w:rFonts w:ascii="Calibri" w:cs="Calibri" w:eastAsia="Calibri" w:hAnsi="Calibri"/>
                <w:b w:val="false"/>
                <w:bCs w:val="false"/>
                <w:color w:val="000000"/>
                <w:sz w:val="22"/>
                <w:szCs w:val="22"/>
              </w:rPr>
              <w:t xml:space="preserve">I</w:t>
            </w:r>
          </w:p>
        </w:tc>
        <w:tc>
          <w:tcPr>
            <w:tcW w:type="dxa" w:w="1500"/>
            <w:vAlign w:val="center"/>
          </w:tcPr>
          <w:p>
            <w:pPr>
              <w:jc w:val="left"/>
            </w:pPr>
            <w:r>
              <w:rPr>
                <w:rFonts w:ascii="Calibri" w:cs="Calibri" w:eastAsia="Calibri" w:hAnsi="Calibri"/>
                <w:b w:val="false"/>
                <w:bCs w:val="false"/>
                <w:color w:val="000000"/>
                <w:sz w:val="22"/>
                <w:szCs w:val="22"/>
              </w:rPr>
              <w:t xml:space="preserve">A</w:t>
            </w:r>
          </w:p>
        </w:tc>
      </w:tr>
      <w:tr>
        <w:tc>
          <w:tcPr>
            <w:tcW w:type="dxa" w:w="3000"/>
            <w:vAlign w:val="center"/>
          </w:tcPr>
          <w:p>
            <w:pPr>
              <w:jc w:val="left"/>
            </w:pPr>
            <w:r>
              <w:rPr>
                <w:rFonts w:ascii="Calibri" w:cs="Calibri" w:eastAsia="Calibri" w:hAnsi="Calibri"/>
                <w:b w:val="false"/>
                <w:bCs w:val="false"/>
                <w:color w:val="000000"/>
                <w:sz w:val="22"/>
                <w:szCs w:val="22"/>
              </w:rPr>
              <w:t xml:space="preserve">Supply general assessment</w:t>
            </w:r>
          </w:p>
        </w:tc>
        <w:tc>
          <w:tcPr>
            <w:tcW w:type="dxa" w:w="1500"/>
            <w:vAlign w:val="center"/>
          </w:tcPr>
          <w:p>
            <w:pPr>
              <w:jc w:val="left"/>
            </w:pPr>
            <w:r>
              <w:rPr>
                <w:rFonts w:ascii="Calibri" w:cs="Calibri" w:eastAsia="Calibri" w:hAnsi="Calibri"/>
                <w:b w:val="false"/>
                <w:bCs w:val="false"/>
                <w:color w:val="000000"/>
                <w:sz w:val="22"/>
                <w:szCs w:val="22"/>
              </w:rPr>
              <w:t xml:space="preserve">R</w:t>
            </w:r>
          </w:p>
        </w:tc>
        <w:tc>
          <w:tcPr>
            <w:tcW w:type="dxa" w:w="1500"/>
            <w:vAlign w:val="center"/>
          </w:tcPr>
          <w:p>
            <w:pPr>
              <w:jc w:val="left"/>
            </w:pPr>
            <w:r>
              <w:rPr>
                <w:rFonts w:ascii="Calibri" w:cs="Calibri" w:eastAsia="Calibri" w:hAnsi="Calibri"/>
                <w:b w:val="false"/>
                <w:bCs w:val="false"/>
                <w:color w:val="000000"/>
                <w:sz w:val="22"/>
                <w:szCs w:val="22"/>
              </w:rPr>
              <w:t xml:space="preserve">C</w:t>
            </w:r>
          </w:p>
        </w:tc>
        <w:tc>
          <w:tcPr>
            <w:tcW w:type="dxa" w:w="1500"/>
            <w:vAlign w:val="center"/>
          </w:tcPr>
          <w:p>
            <w:pPr>
              <w:jc w:val="left"/>
            </w:pPr>
            <w:r>
              <w:rPr>
                <w:rFonts w:ascii="Calibri" w:cs="Calibri" w:eastAsia="Calibri" w:hAnsi="Calibri"/>
                <w:b w:val="false"/>
                <w:bCs w:val="false"/>
                <w:color w:val="000000"/>
                <w:sz w:val="22"/>
                <w:szCs w:val="22"/>
              </w:rPr>
              <w:t xml:space="preserve">R</w:t>
            </w:r>
          </w:p>
        </w:tc>
        <w:tc>
          <w:tcPr>
            <w:tcW w:type="dxa" w:w="1500"/>
            <w:vAlign w:val="center"/>
          </w:tcPr>
          <w:p>
            <w:pPr>
              <w:jc w:val="left"/>
            </w:pPr>
            <w:r>
              <w:rPr>
                <w:rFonts w:ascii="Calibri" w:cs="Calibri" w:eastAsia="Calibri" w:hAnsi="Calibri"/>
                <w:b w:val="false"/>
                <w:bCs w:val="false"/>
                <w:color w:val="000000"/>
                <w:sz w:val="22"/>
                <w:szCs w:val="22"/>
              </w:rPr>
              <w:t xml:space="preserve">A</w:t>
            </w:r>
          </w:p>
        </w:tc>
      </w:tr>
      <w:tr>
        <w:tc>
          <w:tcPr>
            <w:tcW w:type="dxa" w:w="3000"/>
            <w:vAlign w:val="center"/>
          </w:tcPr>
          <w:p>
            <w:pPr>
              <w:jc w:val="left"/>
            </w:pPr>
            <w:r>
              <w:rPr>
                <w:rFonts w:ascii="Calibri" w:cs="Calibri" w:eastAsia="Calibri" w:hAnsi="Calibri"/>
                <w:b w:val="false"/>
                <w:bCs w:val="false"/>
                <w:color w:val="000000"/>
                <w:sz w:val="22"/>
                <w:szCs w:val="22"/>
              </w:rPr>
              <w:t xml:space="preserve">Payment method verification</w:t>
            </w:r>
          </w:p>
        </w:tc>
        <w:tc>
          <w:tcPr>
            <w:tcW w:type="dxa" w:w="1500"/>
            <w:vAlign w:val="center"/>
          </w:tcPr>
          <w:p>
            <w:pPr>
              <w:jc w:val="left"/>
            </w:pPr>
            <w:r>
              <w:rPr>
                <w:rFonts w:ascii="Calibri" w:cs="Calibri" w:eastAsia="Calibri" w:hAnsi="Calibri"/>
                <w:b w:val="false"/>
                <w:bCs w:val="false"/>
                <w:color w:val="000000"/>
                <w:sz w:val="22"/>
                <w:szCs w:val="22"/>
              </w:rPr>
              <w:t xml:space="preserve">C</w:t>
            </w:r>
          </w:p>
        </w:tc>
        <w:tc>
          <w:tcPr>
            <w:tcW w:type="dxa" w:w="1500"/>
            <w:vAlign w:val="center"/>
          </w:tcPr>
          <w:p>
            <w:pPr>
              <w:jc w:val="left"/>
            </w:pPr>
            <w:r>
              <w:rPr>
                <w:rFonts w:ascii="Calibri" w:cs="Calibri" w:eastAsia="Calibri" w:hAnsi="Calibri"/>
                <w:b w:val="false"/>
                <w:bCs w:val="false"/>
                <w:color w:val="000000"/>
                <w:sz w:val="22"/>
                <w:szCs w:val="22"/>
              </w:rPr>
              <w:t xml:space="preserve">R</w:t>
            </w:r>
          </w:p>
        </w:tc>
        <w:tc>
          <w:tcPr>
            <w:tcW w:type="dxa" w:w="1500"/>
            <w:vAlign w:val="center"/>
          </w:tcPr>
          <w:p>
            <w:pPr>
              <w:jc w:val="left"/>
            </w:pPr>
            <w:r>
              <w:rPr>
                <w:rFonts w:ascii="Calibri" w:cs="Calibri" w:eastAsia="Calibri" w:hAnsi="Calibri"/>
                <w:b w:val="false"/>
                <w:bCs w:val="false"/>
                <w:color w:val="000000"/>
                <w:sz w:val="22"/>
                <w:szCs w:val="22"/>
              </w:rPr>
              <w:t xml:space="preserve">I</w:t>
            </w:r>
          </w:p>
        </w:tc>
        <w:tc>
          <w:tcPr>
            <w:tcW w:type="dxa" w:w="1500"/>
            <w:vAlign w:val="center"/>
          </w:tcPr>
          <w:p>
            <w:pPr>
              <w:jc w:val="left"/>
            </w:pPr>
            <w:r>
              <w:rPr>
                <w:rFonts w:ascii="Calibri" w:cs="Calibri" w:eastAsia="Calibri" w:hAnsi="Calibri"/>
                <w:b w:val="false"/>
                <w:bCs w:val="false"/>
                <w:color w:val="000000"/>
                <w:sz w:val="22"/>
                <w:szCs w:val="22"/>
              </w:rPr>
              <w:t xml:space="preserve">A</w:t>
            </w:r>
          </w:p>
        </w:tc>
      </w:tr>
      <w:tr>
        <w:tc>
          <w:tcPr>
            <w:tcW w:type="dxa" w:w="3000"/>
            <w:vAlign w:val="center"/>
          </w:tcPr>
          <w:p>
            <w:pPr>
              <w:jc w:val="left"/>
            </w:pPr>
            <w:r>
              <w:rPr>
                <w:rFonts w:ascii="Calibri" w:cs="Calibri" w:eastAsia="Calibri" w:hAnsi="Calibri"/>
                <w:b w:val="false"/>
                <w:bCs w:val="false"/>
                <w:color w:val="000000"/>
                <w:sz w:val="22"/>
                <w:szCs w:val="22"/>
              </w:rPr>
              <w:t xml:space="preserve">Supply circumstances check</w:t>
            </w:r>
          </w:p>
        </w:tc>
        <w:tc>
          <w:tcPr>
            <w:tcW w:type="dxa" w:w="1500"/>
            <w:vAlign w:val="center"/>
          </w:tcPr>
          <w:p>
            <w:pPr>
              <w:jc w:val="left"/>
            </w:pPr>
            <w:r>
              <w:rPr>
                <w:rFonts w:ascii="Calibri" w:cs="Calibri" w:eastAsia="Calibri" w:hAnsi="Calibri"/>
                <w:b w:val="false"/>
                <w:bCs w:val="false"/>
                <w:color w:val="000000"/>
                <w:sz w:val="22"/>
                <w:szCs w:val="22"/>
              </w:rPr>
              <w:t xml:space="preserve">R</w:t>
            </w:r>
          </w:p>
        </w:tc>
        <w:tc>
          <w:tcPr>
            <w:tcW w:type="dxa" w:w="1500"/>
            <w:vAlign w:val="center"/>
          </w:tcPr>
          <w:p>
            <w:pPr>
              <w:jc w:val="left"/>
            </w:pPr>
            <w:r>
              <w:rPr>
                <w:rFonts w:ascii="Calibri" w:cs="Calibri" w:eastAsia="Calibri" w:hAnsi="Calibri"/>
                <w:b w:val="false"/>
                <w:bCs w:val="false"/>
                <w:color w:val="000000"/>
                <w:sz w:val="22"/>
                <w:szCs w:val="22"/>
              </w:rPr>
              <w:t xml:space="preserve">C</w:t>
            </w:r>
          </w:p>
        </w:tc>
        <w:tc>
          <w:tcPr>
            <w:tcW w:type="dxa" w:w="1500"/>
            <w:vAlign w:val="center"/>
          </w:tcPr>
          <w:p>
            <w:pPr>
              <w:jc w:val="left"/>
            </w:pPr>
            <w:r>
              <w:rPr>
                <w:rFonts w:ascii="Calibri" w:cs="Calibri" w:eastAsia="Calibri" w:hAnsi="Calibri"/>
                <w:b w:val="false"/>
                <w:bCs w:val="false"/>
                <w:color w:val="000000"/>
                <w:sz w:val="22"/>
                <w:szCs w:val="22"/>
              </w:rPr>
              <w:t xml:space="preserve">R</w:t>
            </w:r>
          </w:p>
        </w:tc>
        <w:tc>
          <w:tcPr>
            <w:tcW w:type="dxa" w:w="1500"/>
            <w:vAlign w:val="center"/>
          </w:tcPr>
          <w:p>
            <w:pPr>
              <w:jc w:val="left"/>
            </w:pPr>
            <w:r>
              <w:rPr>
                <w:rFonts w:ascii="Calibri" w:cs="Calibri" w:eastAsia="Calibri" w:hAnsi="Calibri"/>
                <w:b w:val="false"/>
                <w:bCs w:val="false"/>
                <w:color w:val="000000"/>
                <w:sz w:val="22"/>
                <w:szCs w:val="22"/>
              </w:rPr>
              <w:t xml:space="preserve">A</w:t>
            </w:r>
          </w:p>
        </w:tc>
      </w:tr>
      <w:tr>
        <w:tc>
          <w:tcPr>
            <w:tcW w:type="dxa" w:w="3000"/>
            <w:vAlign w:val="center"/>
          </w:tcPr>
          <w:p>
            <w:pPr>
              <w:jc w:val="left"/>
            </w:pPr>
            <w:r>
              <w:rPr>
                <w:rFonts w:ascii="Calibri" w:cs="Calibri" w:eastAsia="Calibri" w:hAnsi="Calibri"/>
                <w:b w:val="false"/>
                <w:bCs w:val="false"/>
                <w:color w:val="000000"/>
                <w:sz w:val="22"/>
                <w:szCs w:val="22"/>
              </w:rPr>
              <w:t xml:space="preserve">Documentation &amp; record retention</w:t>
            </w:r>
          </w:p>
        </w:tc>
        <w:tc>
          <w:tcPr>
            <w:tcW w:type="dxa" w:w="1500"/>
            <w:vAlign w:val="center"/>
          </w:tcPr>
          <w:p>
            <w:pPr>
              <w:jc w:val="left"/>
            </w:pPr>
            <w:r>
              <w:rPr>
                <w:rFonts w:ascii="Calibri" w:cs="Calibri" w:eastAsia="Calibri" w:hAnsi="Calibri"/>
                <w:b w:val="false"/>
                <w:bCs w:val="false"/>
                <w:color w:val="000000"/>
                <w:sz w:val="22"/>
                <w:szCs w:val="22"/>
              </w:rPr>
              <w:t xml:space="preserve">R</w:t>
            </w:r>
          </w:p>
        </w:tc>
        <w:tc>
          <w:tcPr>
            <w:tcW w:type="dxa" w:w="1500"/>
            <w:vAlign w:val="center"/>
          </w:tcPr>
          <w:p>
            <w:pPr>
              <w:jc w:val="left"/>
            </w:pPr>
            <w:r>
              <w:rPr>
                <w:rFonts w:ascii="Calibri" w:cs="Calibri" w:eastAsia="Calibri" w:hAnsi="Calibri"/>
                <w:b w:val="false"/>
                <w:bCs w:val="false"/>
                <w:color w:val="000000"/>
                <w:sz w:val="22"/>
                <w:szCs w:val="22"/>
              </w:rPr>
              <w:t xml:space="preserve">R</w:t>
            </w:r>
          </w:p>
        </w:tc>
        <w:tc>
          <w:tcPr>
            <w:tcW w:type="dxa" w:w="1500"/>
            <w:vAlign w:val="center"/>
          </w:tcPr>
          <w:p>
            <w:pPr>
              <w:jc w:val="left"/>
            </w:pPr>
            <w:r>
              <w:rPr>
                <w:rFonts w:ascii="Calibri" w:cs="Calibri" w:eastAsia="Calibri" w:hAnsi="Calibri"/>
                <w:b w:val="false"/>
                <w:bCs w:val="false"/>
                <w:color w:val="000000"/>
                <w:sz w:val="22"/>
                <w:szCs w:val="22"/>
              </w:rPr>
              <w:t xml:space="preserve">I</w:t>
            </w:r>
          </w:p>
        </w:tc>
        <w:tc>
          <w:tcPr>
            <w:tcW w:type="dxa" w:w="1500"/>
            <w:vAlign w:val="center"/>
          </w:tcPr>
          <w:p>
            <w:pPr>
              <w:jc w:val="left"/>
            </w:pPr>
            <w:r>
              <w:rPr>
                <w:rFonts w:ascii="Calibri" w:cs="Calibri" w:eastAsia="Calibri" w:hAnsi="Calibri"/>
                <w:b w:val="false"/>
                <w:bCs w:val="false"/>
                <w:color w:val="000000"/>
                <w:sz w:val="22"/>
                <w:szCs w:val="22"/>
              </w:rPr>
              <w:t xml:space="preserve">A</w:t>
            </w:r>
          </w:p>
        </w:tc>
      </w:tr>
      <w:tr>
        <w:tc>
          <w:tcPr>
            <w:tcW w:type="dxa" w:w="3000"/>
            <w:vAlign w:val="center"/>
          </w:tcPr>
          <w:p>
            <w:pPr>
              <w:jc w:val="left"/>
            </w:pPr>
            <w:r>
              <w:rPr>
                <w:rFonts w:ascii="Calibri" w:cs="Calibri" w:eastAsia="Calibri" w:hAnsi="Calibri"/>
                <w:b w:val="false"/>
                <w:bCs w:val="false"/>
                <w:color w:val="000000"/>
                <w:sz w:val="22"/>
                <w:szCs w:val="22"/>
              </w:rPr>
              <w:t xml:space="preserve">Annual ITC verification audit</w:t>
            </w:r>
          </w:p>
        </w:tc>
        <w:tc>
          <w:tcPr>
            <w:tcW w:type="dxa" w:w="1500"/>
            <w:vAlign w:val="center"/>
          </w:tcPr>
          <w:p>
            <w:pPr>
              <w:jc w:val="left"/>
            </w:pPr>
            <w:r>
              <w:rPr>
                <w:rFonts w:ascii="Calibri" w:cs="Calibri" w:eastAsia="Calibri" w:hAnsi="Calibri"/>
                <w:b w:val="false"/>
                <w:bCs w:val="false"/>
                <w:color w:val="000000"/>
                <w:sz w:val="22"/>
                <w:szCs w:val="22"/>
              </w:rPr>
              <w:t xml:space="preserve">C</w:t>
            </w:r>
          </w:p>
        </w:tc>
        <w:tc>
          <w:tcPr>
            <w:tcW w:type="dxa" w:w="1500"/>
            <w:vAlign w:val="center"/>
          </w:tcPr>
          <w:p>
            <w:pPr>
              <w:jc w:val="left"/>
            </w:pPr>
            <w:r>
              <w:rPr>
                <w:rFonts w:ascii="Calibri" w:cs="Calibri" w:eastAsia="Calibri" w:hAnsi="Calibri"/>
                <w:b w:val="false"/>
                <w:bCs w:val="false"/>
                <w:color w:val="000000"/>
                <w:sz w:val="22"/>
                <w:szCs w:val="22"/>
              </w:rPr>
              <w:t xml:space="preserve">R</w:t>
            </w:r>
          </w:p>
        </w:tc>
        <w:tc>
          <w:tcPr>
            <w:tcW w:type="dxa" w:w="1500"/>
            <w:vAlign w:val="center"/>
          </w:tcPr>
          <w:p>
            <w:pPr>
              <w:jc w:val="left"/>
            </w:pPr>
            <w:r>
              <w:rPr>
                <w:rFonts w:ascii="Calibri" w:cs="Calibri" w:eastAsia="Calibri" w:hAnsi="Calibri"/>
                <w:b w:val="false"/>
                <w:bCs w:val="false"/>
                <w:color w:val="000000"/>
                <w:sz w:val="22"/>
                <w:szCs w:val="22"/>
              </w:rPr>
              <w:t xml:space="preserve">I</w:t>
            </w:r>
          </w:p>
        </w:tc>
        <w:tc>
          <w:tcPr>
            <w:tcW w:type="dxa" w:w="1500"/>
            <w:vAlign w:val="center"/>
          </w:tcPr>
          <w:p>
            <w:pPr>
              <w:jc w:val="left"/>
            </w:pPr>
            <w:r>
              <w:rPr>
                <w:rFonts w:ascii="Calibri" w:cs="Calibri" w:eastAsia="Calibri" w:hAnsi="Calibri"/>
                <w:b w:val="false"/>
                <w:bCs w:val="false"/>
                <w:color w:val="000000"/>
                <w:sz w:val="22"/>
                <w:szCs w:val="22"/>
              </w:rPr>
              <w:t xml:space="preserve">A</w:t>
            </w:r>
          </w:p>
        </w:tc>
      </w:tr>
    </w:tbl>
    <w:p>
      <w:pPr>
        <w:spacing w:after="120"/>
        <w:jc w:val="left"/>
      </w:pPr>
      <w:r>
        <w:rPr>
          <w:rFonts w:ascii="Calibri" w:cs="Calibri" w:eastAsia="Calibri" w:hAnsi="Calibri"/>
          <w:sz w:val="22"/>
          <w:szCs w:val="22"/>
        </w:rPr>
        <w:t xml:space="preserve"/>
      </w:r>
    </w:p>
    <w:p>
      <w:pPr>
        <w:spacing w:after="120"/>
        <w:jc w:val="left"/>
      </w:pPr>
      <w:r>
        <w:rPr>
          <w:rFonts w:ascii="Calibri" w:cs="Calibri" w:eastAsia="Calibri" w:hAnsi="Calibri"/>
          <w:sz w:val="22"/>
          <w:szCs w:val="22"/>
        </w:rPr>
        <w:t xml:space="preserve">R = Responsible, A = Accountable, C = Consulted, I = Informed</w:t>
      </w:r>
    </w:p>
    <w:p>
      <w:pPr>
        <w:pStyle w:val="Heading1"/>
        <w:spacing w:after="120" w:before="240"/>
      </w:pPr>
      <w:r>
        <w:rPr>
          <w:rFonts w:ascii="Calibri" w:cs="Calibri" w:eastAsia="Calibri" w:hAnsi="Calibri"/>
          <w:b/>
          <w:bCs/>
          <w:color w:val="1F4E79"/>
          <w:sz w:val="28"/>
          <w:szCs w:val="28"/>
        </w:rPr>
        <w:t xml:space="preserve">9. Record Retention &amp; Documentation</w:t>
      </w:r>
    </w:p>
    <w:p>
      <w:pPr>
        <w:spacing w:after="120"/>
        <w:jc w:val="left"/>
      </w:pPr>
      <w:r>
        <w:rPr>
          <w:rFonts w:ascii="Calibri" w:cs="Calibri" w:eastAsia="Calibri" w:hAnsi="Calibri"/>
          <w:sz w:val="22"/>
          <w:szCs w:val="22"/>
        </w:rPr>
        <w:t xml:space="preserve">All ITC verification records must be retained for a minimum of 5 years from the end of the tax period in which the supply was received, including:</w:t>
      </w:r>
    </w:p>
    <w:p>
      <w:pPr>
        <w:spacing w:after="80"/>
        <w:ind w:left="720" w:hanging="360"/>
      </w:pPr>
      <w:r>
        <w:rPr>
          <w:rFonts w:ascii="Calibri" w:cs="Calibri" w:eastAsia="Calibri" w:hAnsi="Calibri"/>
          <w:sz w:val="22"/>
          <w:szCs w:val="22"/>
        </w:rPr>
        <w:t xml:space="preserve">•  Completed </w:t>
      </w:r>
      <w:hyperlink r:id="rId8">
        <w:r>
          <w:rPr>
            <w:rFonts w:ascii="Calibri" w:hAnsi="Calibri"/>
            <w:color w:val="0563C1"/>
            <w:u w:val="single"/>
            <w:sz w:val="22"/>
            <w:szCs w:val="22"/>
          </w:rPr>
          <w:t xml:space="preserve">F-ITC-01</w:t>
        </w:r>
      </w:hyperlink>
      <w:r>
        <w:rPr>
          <w:rFonts w:ascii="Calibri" w:cs="Calibri" w:eastAsia="Calibri" w:hAnsi="Calibri"/>
          <w:sz w:val="22"/>
          <w:szCs w:val="22"/>
        </w:rPr>
        <w:t xml:space="preserve"> Supplier ITC Verification Checklists</w:t>
      </w:r>
    </w:p>
    <w:p>
      <w:pPr>
        <w:spacing w:after="80"/>
        <w:ind w:left="720" w:hanging="360"/>
      </w:pPr>
      <w:r>
        <w:rPr>
          <w:rFonts w:ascii="Calibri" w:cs="Calibri" w:eastAsia="Calibri" w:hAnsi="Calibri"/>
          <w:sz w:val="22"/>
          <w:szCs w:val="22"/>
        </w:rPr>
        <w:t xml:space="preserve">•  Completed </w:t>
      </w:r>
      <w:hyperlink r:id="rId9">
        <w:r>
          <w:rPr>
            <w:rFonts w:ascii="Calibri" w:hAnsi="Calibri"/>
            <w:color w:val="0563C1"/>
            <w:u w:val="single"/>
            <w:sz w:val="22"/>
            <w:szCs w:val="22"/>
          </w:rPr>
          <w:t xml:space="preserve">F-ITC-02</w:t>
        </w:r>
      </w:hyperlink>
      <w:r>
        <w:rPr>
          <w:rFonts w:ascii="Calibri" w:cs="Calibri" w:eastAsia="Calibri" w:hAnsi="Calibri"/>
          <w:sz w:val="22"/>
          <w:szCs w:val="22"/>
        </w:rPr>
        <w:t xml:space="preserve"> Supply ITC Verification Checklists</w:t>
      </w:r>
    </w:p>
    <w:p>
      <w:pPr>
        <w:spacing w:after="80"/>
        <w:ind w:left="720" w:hanging="360"/>
      </w:pPr>
      <w:r>
        <w:rPr>
          <w:rFonts w:ascii="Calibri" w:cs="Calibri" w:eastAsia="Calibri" w:hAnsi="Calibri"/>
          <w:sz w:val="22"/>
          <w:szCs w:val="22"/>
        </w:rPr>
        <w:t xml:space="preserve">•  Copies of supplier identity documents (Emirates ID, passport, trade license, certificate of incorporation)</w:t>
      </w:r>
    </w:p>
    <w:p>
      <w:pPr>
        <w:spacing w:after="80"/>
        <w:ind w:left="720" w:hanging="360"/>
      </w:pPr>
      <w:r>
        <w:rPr>
          <w:rFonts w:ascii="Calibri" w:cs="Calibri" w:eastAsia="Calibri" w:hAnsi="Calibri"/>
          <w:sz w:val="22"/>
          <w:szCs w:val="22"/>
        </w:rPr>
        <w:t xml:space="preserve">•  Bank confirmation letters (for suppliers exceeding AED 375,000 threshold)</w:t>
      </w:r>
    </w:p>
    <w:p>
      <w:pPr>
        <w:spacing w:after="80"/>
        <w:ind w:left="720" w:hanging="360"/>
      </w:pPr>
      <w:r>
        <w:rPr>
          <w:rFonts w:ascii="Calibri" w:cs="Calibri" w:eastAsia="Calibri" w:hAnsi="Calibri"/>
          <w:sz w:val="22"/>
          <w:szCs w:val="22"/>
        </w:rPr>
        <w:t xml:space="preserve">•  Risk indicator assessment records and justifications</w:t>
      </w:r>
    </w:p>
    <w:p>
      <w:pPr>
        <w:spacing w:after="80"/>
        <w:ind w:left="720" w:hanging="360"/>
      </w:pPr>
      <w:r>
        <w:rPr>
          <w:rFonts w:ascii="Calibri" w:cs="Calibri" w:eastAsia="Calibri" w:hAnsi="Calibri"/>
          <w:sz w:val="22"/>
          <w:szCs w:val="22"/>
        </w:rPr>
        <w:t xml:space="preserve">•  Evidence of address / place of business verification</w:t>
      </w:r>
    </w:p>
    <w:p>
      <w:pPr>
        <w:spacing w:after="80"/>
        <w:ind w:left="720" w:hanging="360"/>
      </w:pPr>
      <w:r>
        <w:rPr>
          <w:rFonts w:ascii="Calibri" w:cs="Calibri" w:eastAsia="Calibri" w:hAnsi="Calibri"/>
          <w:sz w:val="22"/>
          <w:szCs w:val="22"/>
        </w:rPr>
        <w:t xml:space="preserve">•  Payment records and evidence of electronic payment</w:t>
      </w:r>
    </w:p>
    <w:p>
      <w:pPr>
        <w:spacing w:after="80"/>
        <w:ind w:left="720" w:hanging="360"/>
      </w:pPr>
      <w:r>
        <w:rPr>
          <w:rFonts w:ascii="Calibri" w:cs="Calibri" w:eastAsia="Calibri" w:hAnsi="Calibri"/>
          <w:sz w:val="22"/>
          <w:szCs w:val="22"/>
        </w:rPr>
        <w:t xml:space="preserve">•  Any explanations retained under the risk indicator assessment</w:t>
      </w:r>
    </w:p>
    <w:p>
      <w:pPr>
        <w:spacing w:after="120"/>
        <w:jc w:val="left"/>
      </w:pPr>
      <w:r>
        <w:rPr>
          <w:rFonts w:ascii="Calibri" w:cs="Calibri" w:eastAsia="Calibri" w:hAnsi="Calibri"/>
          <w:sz w:val="22"/>
          <w:szCs w:val="22"/>
        </w:rPr>
        <w:t xml:space="preserve">Records shall be stored in the Group's document management system and made available to the FTA upon request within 5 business days.</w:t>
      </w:r>
    </w:p>
    <w:p>
      <w:pPr>
        <w:pStyle w:val="Heading1"/>
        <w:spacing w:after="120" w:before="240"/>
      </w:pPr>
      <w:r>
        <w:rPr>
          <w:rFonts w:ascii="Calibri" w:cs="Calibri" w:eastAsia="Calibri" w:hAnsi="Calibri"/>
          <w:b/>
          <w:bCs/>
          <w:color w:val="1F4E79"/>
          <w:sz w:val="28"/>
          <w:szCs w:val="28"/>
        </w:rPr>
        <w:t xml:space="preserve">10. Performance Indicators (KPIs)</w:t>
      </w:r>
    </w:p>
    <w:p>
      <w:pPr>
        <w:spacing w:after="120"/>
        <w:jc w:val="left"/>
      </w:pPr>
      <w:r>
        <w:rPr>
          <w:rFonts w:ascii="Calibri" w:cs="Calibri" w:eastAsia="Calibri" w:hAnsi="Calibri"/>
          <w:sz w:val="22"/>
          <w:szCs w:val="22"/>
        </w:rP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4000"/>
        <w:gridCol w:w="2500"/>
        <w:gridCol w:w="2500"/>
      </w:tblGrid>
      <w:tr>
        <w:tc>
          <w:tcPr>
            <w:tcW w:type="dxa" w:w="4000"/>
            <w:shd w:fill="1F4E79" w:val="clear"/>
            <w:vAlign w:val="center"/>
          </w:tcPr>
          <w:p>
            <w:pPr>
              <w:jc w:val="left"/>
            </w:pPr>
            <w:r>
              <w:rPr>
                <w:rFonts w:ascii="Calibri" w:cs="Calibri" w:eastAsia="Calibri" w:hAnsi="Calibri"/>
                <w:b/>
                <w:bCs/>
                <w:color w:val="FFFFFF"/>
                <w:sz w:val="22"/>
                <w:szCs w:val="22"/>
              </w:rPr>
              <w:t xml:space="preserve">KPI</w:t>
            </w:r>
          </w:p>
        </w:tc>
        <w:tc>
          <w:tcPr>
            <w:tcW w:type="dxa" w:w="2500"/>
            <w:shd w:fill="1F4E79" w:val="clear"/>
            <w:vAlign w:val="center"/>
          </w:tcPr>
          <w:p>
            <w:pPr>
              <w:jc w:val="left"/>
            </w:pPr>
            <w:r>
              <w:rPr>
                <w:rFonts w:ascii="Calibri" w:cs="Calibri" w:eastAsia="Calibri" w:hAnsi="Calibri"/>
                <w:b/>
                <w:bCs/>
                <w:color w:val="FFFFFF"/>
                <w:sz w:val="22"/>
                <w:szCs w:val="22"/>
              </w:rPr>
              <w:t xml:space="preserve">Target</w:t>
            </w:r>
          </w:p>
        </w:tc>
        <w:tc>
          <w:tcPr>
            <w:tcW w:type="dxa" w:w="2500"/>
            <w:shd w:fill="1F4E79" w:val="clear"/>
            <w:vAlign w:val="center"/>
          </w:tcPr>
          <w:p>
            <w:pPr>
              <w:jc w:val="left"/>
            </w:pPr>
            <w:r>
              <w:rPr>
                <w:rFonts w:ascii="Calibri" w:cs="Calibri" w:eastAsia="Calibri" w:hAnsi="Calibri"/>
                <w:b/>
                <w:bCs/>
                <w:color w:val="FFFFFF"/>
                <w:sz w:val="22"/>
                <w:szCs w:val="22"/>
              </w:rPr>
              <w:t xml:space="preserve">Frequency</w:t>
            </w:r>
          </w:p>
        </w:tc>
      </w:tr>
      <w:tr>
        <w:tc>
          <w:tcPr>
            <w:tcW w:type="dxa" w:w="4000"/>
            <w:vAlign w:val="center"/>
          </w:tcPr>
          <w:p>
            <w:pPr>
              <w:jc w:val="left"/>
            </w:pPr>
            <w:r>
              <w:rPr>
                <w:rFonts w:ascii="Calibri" w:cs="Calibri" w:eastAsia="Calibri" w:hAnsi="Calibri"/>
                <w:b w:val="false"/>
                <w:bCs w:val="false"/>
                <w:color w:val="000000"/>
                <w:sz w:val="22"/>
                <w:szCs w:val="22"/>
              </w:rPr>
              <w:t xml:space="preserve">Supplier verification completion rate</w:t>
            </w:r>
          </w:p>
        </w:tc>
        <w:tc>
          <w:tcPr>
            <w:tcW w:type="dxa" w:w="2500"/>
            <w:vAlign w:val="center"/>
          </w:tcPr>
          <w:p>
            <w:pPr>
              <w:jc w:val="left"/>
            </w:pPr>
            <w:r>
              <w:rPr>
                <w:rFonts w:ascii="Calibri" w:cs="Calibri" w:eastAsia="Calibri" w:hAnsi="Calibri"/>
                <w:b w:val="false"/>
                <w:bCs w:val="false"/>
                <w:color w:val="000000"/>
                <w:sz w:val="22"/>
                <w:szCs w:val="22"/>
              </w:rPr>
              <w:t xml:space="preserve">100%</w:t>
            </w:r>
          </w:p>
        </w:tc>
        <w:tc>
          <w:tcPr>
            <w:tcW w:type="dxa" w:w="2500"/>
            <w:vAlign w:val="center"/>
          </w:tcPr>
          <w:p>
            <w:pPr>
              <w:jc w:val="left"/>
            </w:pPr>
            <w:r>
              <w:rPr>
                <w:rFonts w:ascii="Calibri" w:cs="Calibri" w:eastAsia="Calibri" w:hAnsi="Calibri"/>
                <w:b w:val="false"/>
                <w:bCs w:val="false"/>
                <w:color w:val="000000"/>
                <w:sz w:val="22"/>
                <w:szCs w:val="22"/>
              </w:rPr>
              <w:t xml:space="preserve">Per supplier onboarding / annual renewal</w:t>
            </w:r>
          </w:p>
        </w:tc>
      </w:tr>
      <w:tr>
        <w:tc>
          <w:tcPr>
            <w:tcW w:type="dxa" w:w="4000"/>
            <w:vAlign w:val="center"/>
          </w:tcPr>
          <w:p>
            <w:pPr>
              <w:jc w:val="left"/>
            </w:pPr>
            <w:r>
              <w:rPr>
                <w:rFonts w:ascii="Calibri" w:cs="Calibri" w:eastAsia="Calibri" w:hAnsi="Calibri"/>
                <w:b w:val="false"/>
                <w:bCs w:val="false"/>
                <w:color w:val="000000"/>
                <w:sz w:val="22"/>
                <w:szCs w:val="22"/>
              </w:rPr>
              <w:t xml:space="preserve">Supply verification compliance rate</w:t>
            </w:r>
          </w:p>
        </w:tc>
        <w:tc>
          <w:tcPr>
            <w:tcW w:type="dxa" w:w="2500"/>
            <w:vAlign w:val="center"/>
          </w:tcPr>
          <w:p>
            <w:pPr>
              <w:jc w:val="left"/>
            </w:pPr>
            <w:r>
              <w:rPr>
                <w:rFonts w:ascii="Calibri" w:cs="Calibri" w:eastAsia="Calibri" w:hAnsi="Calibri"/>
                <w:b w:val="false"/>
                <w:bCs w:val="false"/>
                <w:color w:val="000000"/>
                <w:sz w:val="22"/>
                <w:szCs w:val="22"/>
              </w:rPr>
              <w:t xml:space="preserve">≥ 99%</w:t>
            </w:r>
          </w:p>
        </w:tc>
        <w:tc>
          <w:tcPr>
            <w:tcW w:type="dxa" w:w="2500"/>
            <w:vAlign w:val="center"/>
          </w:tcPr>
          <w:p>
            <w:pPr>
              <w:jc w:val="left"/>
            </w:pPr>
            <w:r>
              <w:rPr>
                <w:rFonts w:ascii="Calibri" w:cs="Calibri" w:eastAsia="Calibri" w:hAnsi="Calibri"/>
                <w:b w:val="false"/>
                <w:bCs w:val="false"/>
                <w:color w:val="000000"/>
                <w:sz w:val="22"/>
                <w:szCs w:val="22"/>
              </w:rPr>
              <w:t xml:space="preserve">Per transaction</w:t>
            </w:r>
          </w:p>
        </w:tc>
      </w:tr>
      <w:tr>
        <w:tc>
          <w:tcPr>
            <w:tcW w:type="dxa" w:w="4000"/>
            <w:vAlign w:val="center"/>
          </w:tcPr>
          <w:p>
            <w:pPr>
              <w:jc w:val="left"/>
            </w:pPr>
            <w:r>
              <w:rPr>
                <w:rFonts w:ascii="Calibri" w:cs="Calibri" w:eastAsia="Calibri" w:hAnsi="Calibri"/>
                <w:b w:val="false"/>
                <w:bCs w:val="false"/>
                <w:color w:val="000000"/>
                <w:sz w:val="22"/>
                <w:szCs w:val="22"/>
              </w:rPr>
              <w:t xml:space="preserve">Documentation completeness for ITC claims</w:t>
            </w:r>
          </w:p>
        </w:tc>
        <w:tc>
          <w:tcPr>
            <w:tcW w:type="dxa" w:w="2500"/>
            <w:vAlign w:val="center"/>
          </w:tcPr>
          <w:p>
            <w:pPr>
              <w:jc w:val="left"/>
            </w:pPr>
            <w:r>
              <w:rPr>
                <w:rFonts w:ascii="Calibri" w:cs="Calibri" w:eastAsia="Calibri" w:hAnsi="Calibri"/>
                <w:b w:val="false"/>
                <w:bCs w:val="false"/>
                <w:color w:val="000000"/>
                <w:sz w:val="22"/>
                <w:szCs w:val="22"/>
              </w:rPr>
              <w:t xml:space="preserve">100%</w:t>
            </w:r>
          </w:p>
        </w:tc>
        <w:tc>
          <w:tcPr>
            <w:tcW w:type="dxa" w:w="2500"/>
            <w:vAlign w:val="center"/>
          </w:tcPr>
          <w:p>
            <w:pPr>
              <w:jc w:val="left"/>
            </w:pPr>
            <w:r>
              <w:rPr>
                <w:rFonts w:ascii="Calibri" w:cs="Calibri" w:eastAsia="Calibri" w:hAnsi="Calibri"/>
                <w:b w:val="false"/>
                <w:bCs w:val="false"/>
                <w:color w:val="000000"/>
                <w:sz w:val="22"/>
                <w:szCs w:val="22"/>
              </w:rPr>
              <w:t xml:space="preserve">Monthly audit sample</w:t>
            </w:r>
          </w:p>
        </w:tc>
      </w:tr>
      <w:tr>
        <w:tc>
          <w:tcPr>
            <w:tcW w:type="dxa" w:w="4000"/>
            <w:vAlign w:val="center"/>
          </w:tcPr>
          <w:p>
            <w:pPr>
              <w:jc w:val="left"/>
            </w:pPr>
            <w:r>
              <w:rPr>
                <w:rFonts w:ascii="Calibri" w:cs="Calibri" w:eastAsia="Calibri" w:hAnsi="Calibri"/>
                <w:b w:val="false"/>
                <w:bCs w:val="false"/>
                <w:color w:val="000000"/>
                <w:sz w:val="22"/>
                <w:szCs w:val="22"/>
              </w:rPr>
              <w:t xml:space="preserve">Risk indicator review turnaround</w:t>
            </w:r>
          </w:p>
        </w:tc>
        <w:tc>
          <w:tcPr>
            <w:tcW w:type="dxa" w:w="2500"/>
            <w:vAlign w:val="center"/>
          </w:tcPr>
          <w:p>
            <w:pPr>
              <w:jc w:val="left"/>
            </w:pPr>
            <w:r>
              <w:rPr>
                <w:rFonts w:ascii="Calibri" w:cs="Calibri" w:eastAsia="Calibri" w:hAnsi="Calibri"/>
                <w:b w:val="false"/>
                <w:bCs w:val="false"/>
                <w:color w:val="000000"/>
                <w:sz w:val="22"/>
                <w:szCs w:val="22"/>
              </w:rPr>
              <w:t xml:space="preserve">≤ 5 business days</w:t>
            </w:r>
          </w:p>
        </w:tc>
        <w:tc>
          <w:tcPr>
            <w:tcW w:type="dxa" w:w="2500"/>
            <w:vAlign w:val="center"/>
          </w:tcPr>
          <w:p>
            <w:pPr>
              <w:jc w:val="left"/>
            </w:pPr>
            <w:r>
              <w:rPr>
                <w:rFonts w:ascii="Calibri" w:cs="Calibri" w:eastAsia="Calibri" w:hAnsi="Calibri"/>
                <w:b w:val="false"/>
                <w:bCs w:val="false"/>
                <w:color w:val="000000"/>
                <w:sz w:val="22"/>
                <w:szCs w:val="22"/>
              </w:rPr>
              <w:t xml:space="preserve">Per occurrence</w:t>
            </w:r>
          </w:p>
        </w:tc>
      </w:tr>
      <w:tr>
        <w:tc>
          <w:tcPr>
            <w:tcW w:type="dxa" w:w="4000"/>
            <w:vAlign w:val="center"/>
          </w:tcPr>
          <w:p>
            <w:pPr>
              <w:jc w:val="left"/>
            </w:pPr>
            <w:r>
              <w:rPr>
                <w:rFonts w:ascii="Calibri" w:cs="Calibri" w:eastAsia="Calibri" w:hAnsi="Calibri"/>
                <w:b w:val="false"/>
                <w:bCs w:val="false"/>
                <w:color w:val="000000"/>
                <w:sz w:val="22"/>
                <w:szCs w:val="22"/>
              </w:rPr>
              <w:t xml:space="preserve">Annual supplier re-verification on time</w:t>
            </w:r>
          </w:p>
        </w:tc>
        <w:tc>
          <w:tcPr>
            <w:tcW w:type="dxa" w:w="2500"/>
            <w:vAlign w:val="center"/>
          </w:tcPr>
          <w:p>
            <w:pPr>
              <w:jc w:val="left"/>
            </w:pPr>
            <w:r>
              <w:rPr>
                <w:rFonts w:ascii="Calibri" w:cs="Calibri" w:eastAsia="Calibri" w:hAnsi="Calibri"/>
                <w:b w:val="false"/>
                <w:bCs w:val="false"/>
                <w:color w:val="000000"/>
                <w:sz w:val="22"/>
                <w:szCs w:val="22"/>
              </w:rPr>
              <w:t xml:space="preserve">100%</w:t>
            </w:r>
          </w:p>
        </w:tc>
        <w:tc>
          <w:tcPr>
            <w:tcW w:type="dxa" w:w="2500"/>
            <w:vAlign w:val="center"/>
          </w:tcPr>
          <w:p>
            <w:pPr>
              <w:jc w:val="left"/>
            </w:pPr>
            <w:r>
              <w:rPr>
                <w:rFonts w:ascii="Calibri" w:cs="Calibri" w:eastAsia="Calibri" w:hAnsi="Calibri"/>
                <w:b w:val="false"/>
                <w:bCs w:val="false"/>
                <w:color w:val="000000"/>
                <w:sz w:val="22"/>
                <w:szCs w:val="22"/>
              </w:rPr>
              <w:t xml:space="preserve">Annual</w:t>
            </w:r>
          </w:p>
        </w:tc>
      </w:tr>
    </w:tbl>
    <w:p>
      <w:pPr>
        <w:pStyle w:val="Heading1"/>
        <w:spacing w:after="120" w:before="240"/>
      </w:pPr>
      <w:r>
        <w:rPr>
          <w:rFonts w:ascii="Calibri" w:cs="Calibri" w:eastAsia="Calibri" w:hAnsi="Calibri"/>
          <w:b/>
          <w:bCs/>
          <w:color w:val="1F4E79"/>
          <w:sz w:val="28"/>
          <w:szCs w:val="28"/>
        </w:rPr>
        <w:t xml:space="preserve">11. Reference Forms</w:t>
      </w:r>
    </w:p>
    <w:p>
      <w:pPr>
        <w:spacing w:after="80"/>
        <w:ind w:left="720" w:hanging="360"/>
      </w:pPr>
      <w:r>
        <w:rPr>
          <w:rFonts w:ascii="Calibri" w:cs="Calibri" w:eastAsia="Calibri" w:hAnsi="Calibri"/>
          <w:sz w:val="22"/>
          <w:szCs w:val="22"/>
        </w:rPr>
        <w:t xml:space="preserve">•  Form </w:t>
      </w:r>
      <w:hyperlink r:id="rId10">
        <w:r>
          <w:rPr>
            <w:rFonts w:ascii="Calibri" w:hAnsi="Calibri"/>
            <w:color w:val="0563C1"/>
            <w:u w:val="single"/>
            <w:sz w:val="22"/>
            <w:szCs w:val="22"/>
          </w:rPr>
          <w:t xml:space="preserve">F-ITC-01</w:t>
        </w:r>
      </w:hyperlink>
      <w:r>
        <w:rPr>
          <w:rFonts w:ascii="Calibri" w:cs="Calibri" w:eastAsia="Calibri" w:hAnsi="Calibri"/>
          <w:sz w:val="22"/>
          <w:szCs w:val="22"/>
        </w:rPr>
        <w:t xml:space="preserve"> — Supplier ITC Verification Checklist</w:t>
      </w:r>
    </w:p>
    <w:p>
      <w:pPr>
        <w:spacing w:after="80"/>
        <w:ind w:left="720" w:hanging="360"/>
      </w:pPr>
      <w:r>
        <w:rPr>
          <w:rFonts w:ascii="Calibri" w:cs="Calibri" w:eastAsia="Calibri" w:hAnsi="Calibri"/>
          <w:sz w:val="22"/>
          <w:szCs w:val="22"/>
        </w:rPr>
        <w:t xml:space="preserve">•  Form </w:t>
      </w:r>
      <w:hyperlink r:id="rId11">
        <w:r>
          <w:rPr>
            <w:rFonts w:ascii="Calibri" w:hAnsi="Calibri"/>
            <w:color w:val="0563C1"/>
            <w:u w:val="single"/>
            <w:sz w:val="22"/>
            <w:szCs w:val="22"/>
          </w:rPr>
          <w:t xml:space="preserve">F-ITC-02</w:t>
        </w:r>
      </w:hyperlink>
      <w:r>
        <w:rPr>
          <w:rFonts w:ascii="Calibri" w:cs="Calibri" w:eastAsia="Calibri" w:hAnsi="Calibri"/>
          <w:sz w:val="22"/>
          <w:szCs w:val="22"/>
        </w:rPr>
        <w:t xml:space="preserve"> — Supply ITC Verification Checklist</w:t>
      </w:r>
    </w:p>
    <w:p>
      <w:pPr>
        <w:spacing w:after="80"/>
        <w:ind w:left="720" w:hanging="360"/>
      </w:pPr>
      <w:r>
        <w:rPr>
          <w:rFonts w:ascii="Calibri" w:cs="Calibri" w:eastAsia="Calibri" w:hAnsi="Calibri"/>
          <w:sz w:val="22"/>
          <w:szCs w:val="22"/>
        </w:rPr>
        <w:t xml:space="preserve">•  Form </w:t>
      </w:r>
      <w:hyperlink r:id="rId12">
        <w:r>
          <w:rPr>
            <w:rFonts w:ascii="Calibri" w:hAnsi="Calibri"/>
            <w:color w:val="0563C1"/>
            <w:u w:val="single"/>
            <w:sz w:val="22"/>
            <w:szCs w:val="22"/>
          </w:rPr>
          <w:t xml:space="preserve">F-VMD-01</w:t>
        </w:r>
      </w:hyperlink>
      <w:r>
        <w:rPr>
          <w:rFonts w:ascii="Calibri" w:cs="Calibri" w:eastAsia="Calibri" w:hAnsi="Calibri"/>
          <w:sz w:val="22"/>
          <w:szCs w:val="22"/>
        </w:rPr>
        <w:t xml:space="preserve"> — Vendor Registration Request Form</w:t>
      </w:r>
    </w:p>
    <w:p>
      <w:pPr>
        <w:spacing w:after="80"/>
        <w:ind w:left="720" w:hanging="360"/>
      </w:pPr>
      <w:r>
        <w:rPr>
          <w:rFonts w:ascii="Calibri" w:cs="Calibri" w:eastAsia="Calibri" w:hAnsi="Calibri"/>
          <w:sz w:val="22"/>
          <w:szCs w:val="22"/>
        </w:rPr>
        <w:t xml:space="preserve">•  Form </w:t>
      </w:r>
      <w:hyperlink r:id="rId13">
        <w:r>
          <w:rPr>
            <w:rFonts w:ascii="Calibri" w:hAnsi="Calibri"/>
            <w:color w:val="0563C1"/>
            <w:u w:val="single"/>
            <w:sz w:val="22"/>
            <w:szCs w:val="22"/>
          </w:rPr>
          <w:t xml:space="preserve">F-SPR-01</w:t>
        </w:r>
      </w:hyperlink>
      <w:r>
        <w:rPr>
          <w:rFonts w:ascii="Calibri" w:cs="Calibri" w:eastAsia="Calibri" w:hAnsi="Calibri"/>
          <w:sz w:val="22"/>
          <w:szCs w:val="22"/>
        </w:rPr>
        <w:t xml:space="preserve"> — Supplier Performance Scorecard</w:t>
      </w:r>
    </w:p>
    <w:p>
      <w:pPr>
        <w:pStyle w:val="Heading1"/>
        <w:spacing w:after="120" w:before="240"/>
      </w:pPr>
      <w:r>
        <w:rPr>
          <w:rFonts w:ascii="Calibri" w:cs="Calibri" w:eastAsia="Calibri" w:hAnsi="Calibri"/>
          <w:b/>
          <w:bCs/>
          <w:color w:val="1F4E79"/>
          <w:sz w:val="28"/>
          <w:szCs w:val="28"/>
        </w:rPr>
        <w:t xml:space="preserve">12. Related Documents</w:t>
      </w:r>
    </w:p>
    <w:p>
      <w:pPr>
        <w:spacing w:after="80"/>
        <w:ind w:left="720" w:hanging="360"/>
      </w:pPr>
      <w:r>
        <w:rPr>
          <w:rFonts w:ascii="Calibri" w:cs="Calibri" w:eastAsia="Calibri" w:hAnsi="Calibri"/>
          <w:sz w:val="22"/>
          <w:szCs w:val="22"/>
        </w:rPr>
        <w:t xml:space="preserve">•  </w:t>
      </w:r>
      <w:hyperlink r:id="rId14">
        <w:r>
          <w:rPr>
            <w:rFonts w:ascii="Calibri" w:hAnsi="Calibri"/>
            <w:color w:val="0563C1"/>
            <w:u w:val="single"/>
            <w:sz w:val="22"/>
            <w:szCs w:val="22"/>
          </w:rPr>
          <w:t xml:space="preserve">P-POL-006</w:t>
        </w:r>
      </w:hyperlink>
      <w:r>
        <w:rPr>
          <w:rFonts w:ascii="Calibri" w:cs="Calibri" w:eastAsia="Calibri" w:hAnsi="Calibri"/>
          <w:sz w:val="22"/>
          <w:szCs w:val="22"/>
        </w:rPr>
        <w:t xml:space="preserve"> — Supplier Evaluation &amp; Management</w:t>
      </w:r>
    </w:p>
    <w:p>
      <w:pPr>
        <w:spacing w:after="80"/>
        <w:ind w:left="720" w:hanging="360"/>
      </w:pPr>
      <w:r>
        <w:rPr>
          <w:rFonts w:ascii="Calibri" w:cs="Calibri" w:eastAsia="Calibri" w:hAnsi="Calibri"/>
          <w:sz w:val="22"/>
          <w:szCs w:val="22"/>
        </w:rPr>
        <w:t xml:space="preserve">•  </w:t>
      </w:r>
      <w:hyperlink r:id="rId15">
        <w:r>
          <w:rPr>
            <w:rFonts w:ascii="Calibri" w:hAnsi="Calibri"/>
            <w:color w:val="0563C1"/>
            <w:u w:val="single"/>
            <w:sz w:val="22"/>
            <w:szCs w:val="22"/>
          </w:rPr>
          <w:t xml:space="preserve">P-POL-020</w:t>
        </w:r>
      </w:hyperlink>
      <w:r>
        <w:rPr>
          <w:rFonts w:ascii="Calibri" w:cs="Calibri" w:eastAsia="Calibri" w:hAnsi="Calibri"/>
          <w:sz w:val="22"/>
          <w:szCs w:val="22"/>
        </w:rPr>
        <w:t xml:space="preserve"> — Vendor Master Data Management</w:t>
      </w:r>
    </w:p>
    <w:p>
      <w:pPr>
        <w:spacing w:after="80"/>
        <w:ind w:left="720" w:hanging="360"/>
      </w:pPr>
      <w:r>
        <w:rPr>
          <w:rFonts w:ascii="Calibri" w:cs="Calibri" w:eastAsia="Calibri" w:hAnsi="Calibri"/>
          <w:sz w:val="22"/>
          <w:szCs w:val="22"/>
        </w:rPr>
        <w:t xml:space="preserve">•  </w:t>
      </w:r>
      <w:hyperlink r:id="rId16">
        <w:r>
          <w:rPr>
            <w:rFonts w:ascii="Calibri" w:hAnsi="Calibri"/>
            <w:color w:val="0563C1"/>
            <w:u w:val="single"/>
            <w:sz w:val="22"/>
            <w:szCs w:val="22"/>
          </w:rPr>
          <w:t xml:space="preserve">P-POL-023</w:t>
        </w:r>
      </w:hyperlink>
      <w:r>
        <w:rPr>
          <w:rFonts w:ascii="Calibri" w:cs="Calibri" w:eastAsia="Calibri" w:hAnsi="Calibri"/>
          <w:sz w:val="22"/>
          <w:szCs w:val="22"/>
        </w:rPr>
        <w:t xml:space="preserve"> — Payment Terms &amp; Invoice Processing</w:t>
      </w:r>
    </w:p>
    <w:p>
      <w:pPr>
        <w:spacing w:after="80"/>
        <w:ind w:left="720" w:hanging="360"/>
      </w:pPr>
      <w:r>
        <w:rPr>
          <w:rFonts w:ascii="Calibri" w:cs="Calibri" w:eastAsia="Calibri" w:hAnsi="Calibri"/>
          <w:sz w:val="22"/>
          <w:szCs w:val="22"/>
        </w:rPr>
        <w:t xml:space="preserve">•  </w:t>
      </w:r>
      <w:hyperlink r:id="rId17">
        <w:r>
          <w:rPr>
            <w:rFonts w:ascii="Calibri" w:hAnsi="Calibri"/>
            <w:color w:val="0563C1"/>
            <w:u w:val="single"/>
            <w:sz w:val="22"/>
            <w:szCs w:val="22"/>
          </w:rPr>
          <w:t xml:space="preserve">P-POL-030</w:t>
        </w:r>
      </w:hyperlink>
      <w:r>
        <w:rPr>
          <w:rFonts w:ascii="Calibri" w:cs="Calibri" w:eastAsia="Calibri" w:hAnsi="Calibri"/>
          <w:sz w:val="22"/>
          <w:szCs w:val="22"/>
        </w:rPr>
        <w:t xml:space="preserve"> — Cash Purchases</w:t>
      </w:r>
    </w:p>
    <w:p>
      <w:pPr>
        <w:spacing w:after="80"/>
        <w:ind w:left="720" w:hanging="360"/>
      </w:pPr>
      <w:r>
        <w:rPr>
          <w:rFonts w:ascii="Calibri" w:cs="Calibri" w:eastAsia="Calibri" w:hAnsi="Calibri"/>
          <w:sz w:val="22"/>
          <w:szCs w:val="22"/>
        </w:rPr>
        <w:t xml:space="preserve">•  </w:t>
      </w:r>
      <w:hyperlink r:id="rId18">
        <w:r>
          <w:rPr>
            <w:rFonts w:ascii="Calibri" w:hAnsi="Calibri"/>
            <w:color w:val="0563C1"/>
            <w:u w:val="single"/>
            <w:sz w:val="22"/>
            <w:szCs w:val="22"/>
          </w:rPr>
          <w:t xml:space="preserve">P-POL-005</w:t>
        </w:r>
      </w:hyperlink>
      <w:r>
        <w:rPr>
          <w:rFonts w:ascii="Calibri" w:cs="Calibri" w:eastAsia="Calibri" w:hAnsi="Calibri"/>
          <w:sz w:val="22"/>
          <w:szCs w:val="22"/>
        </w:rPr>
        <w:t xml:space="preserve"> — Purchase Orders</w:t>
      </w:r>
    </w:p>
    <w:p>
      <w:pPr>
        <w:spacing w:after="80"/>
        <w:ind w:left="720" w:hanging="360"/>
      </w:pPr>
      <w:r>
        <w:rPr>
          <w:rFonts w:ascii="Calibri" w:cs="Calibri" w:eastAsia="Calibri" w:hAnsi="Calibri"/>
          <w:sz w:val="22"/>
          <w:szCs w:val="22"/>
        </w:rPr>
        <w:t xml:space="preserve">•  </w:t>
      </w:r>
      <w:hyperlink r:id="rId19">
        <w:r>
          <w:rPr>
            <w:rFonts w:ascii="Calibri" w:hAnsi="Calibri"/>
            <w:color w:val="0563C1"/>
            <w:u w:val="single"/>
            <w:sz w:val="22"/>
            <w:szCs w:val="22"/>
          </w:rPr>
          <w:t xml:space="preserve">P-POL-027</w:t>
        </w:r>
      </w:hyperlink>
      <w:r>
        <w:rPr>
          <w:rFonts w:ascii="Calibri" w:cs="Calibri" w:eastAsia="Calibri" w:hAnsi="Calibri"/>
          <w:sz w:val="22"/>
          <w:szCs w:val="22"/>
        </w:rPr>
        <w:t xml:space="preserve"> — Procurement Audit &amp; Compliance</w:t>
      </w:r>
    </w:p>
    <w:p>
      <w:pPr>
        <w:spacing w:after="80"/>
        <w:ind w:left="720" w:hanging="360"/>
      </w:pPr>
      <w:r>
        <w:rPr>
          <w:rFonts w:ascii="Calibri" w:cs="Calibri" w:eastAsia="Calibri" w:hAnsi="Calibri"/>
          <w:sz w:val="22"/>
          <w:szCs w:val="22"/>
        </w:rPr>
        <w:t xml:space="preserve">•  </w:t>
      </w:r>
      <w:hyperlink r:id="rId20">
        <w:r>
          <w:rPr>
            <w:rFonts w:ascii="Calibri" w:hAnsi="Calibri"/>
            <w:color w:val="0563C1"/>
            <w:u w:val="single"/>
            <w:sz w:val="22"/>
            <w:szCs w:val="22"/>
          </w:rPr>
          <w:t xml:space="preserve">P-POL-016</w:t>
        </w:r>
      </w:hyperlink>
      <w:r>
        <w:rPr>
          <w:rFonts w:ascii="Calibri" w:cs="Calibri" w:eastAsia="Calibri" w:hAnsi="Calibri"/>
          <w:sz w:val="22"/>
          <w:szCs w:val="22"/>
        </w:rPr>
        <w:t xml:space="preserve"> — Risk Management in Procurement</w:t>
      </w:r>
    </w:p>
    <w:p>
      <w:pPr>
        <w:spacing w:after="80"/>
        <w:ind w:left="720" w:hanging="360"/>
      </w:pPr>
      <w:r>
        <w:rPr>
          <w:rFonts w:ascii="Calibri" w:cs="Calibri" w:eastAsia="Calibri" w:hAnsi="Calibri"/>
          <w:sz w:val="22"/>
          <w:szCs w:val="22"/>
        </w:rPr>
        <w:t xml:space="preserve">•  </w:t>
      </w:r>
      <w:hyperlink r:id="rId21">
        <w:r>
          <w:rPr>
            <w:rFonts w:ascii="Calibri" w:hAnsi="Calibri"/>
            <w:color w:val="0563C1"/>
            <w:u w:val="single"/>
            <w:sz w:val="22"/>
            <w:szCs w:val="22"/>
          </w:rPr>
          <w:t xml:space="preserve">P-POL-025</w:t>
        </w:r>
      </w:hyperlink>
      <w:r>
        <w:rPr>
          <w:rFonts w:ascii="Calibri" w:cs="Calibri" w:eastAsia="Calibri" w:hAnsi="Calibri"/>
          <w:sz w:val="22"/>
          <w:szCs w:val="22"/>
        </w:rPr>
        <w:t xml:space="preserve"> — Import, Customs &amp; Logistics</w:t>
      </w:r>
    </w:p>
    <w:p>
      <w:pPr>
        <w:spacing w:after="80"/>
        <w:ind w:left="720" w:hanging="360"/>
      </w:pPr>
      <w:r>
        <w:rPr>
          <w:rFonts w:ascii="Calibri" w:cs="Calibri" w:eastAsia="Calibri" w:hAnsi="Calibri"/>
          <w:sz w:val="22"/>
          <w:szCs w:val="22"/>
        </w:rPr>
        <w:t xml:space="preserve">•  FTA Decision No. 13 of 2026</w:t>
      </w:r>
    </w:p>
    <w:p>
      <w:pPr>
        <w:pStyle w:val="Heading1"/>
        <w:spacing w:after="120" w:before="240"/>
      </w:pPr>
      <w:r>
        <w:rPr>
          <w:rFonts w:ascii="Calibri" w:cs="Calibri" w:eastAsia="Calibri" w:hAnsi="Calibri"/>
          <w:b/>
          <w:bCs/>
          <w:color w:val="1F4E79"/>
          <w:sz w:val="28"/>
          <w:szCs w:val="28"/>
        </w:rPr>
        <w:t xml:space="preserve">13. Definitions &amp; Acronyms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500"/>
        <w:gridCol w:w="6500"/>
      </w:tblGrid>
      <w:tr>
        <w:tc>
          <w:tcPr>
            <w:tcW w:type="dxa" w:w="2500"/>
            <w:shd w:fill="F2F2F2" w:val="clear"/>
            <w:vAlign w:val="center"/>
          </w:tcPr>
          <w:p>
            <w:pPr>
              <w:jc w:val="left"/>
            </w:pPr>
            <w:r>
              <w:rPr>
                <w:rFonts w:ascii="Calibri" w:cs="Calibri" w:eastAsia="Calibri" w:hAnsi="Calibri"/>
                <w:b/>
                <w:bCs/>
                <w:color w:val="000000"/>
                <w:sz w:val="22"/>
                <w:szCs w:val="22"/>
              </w:rPr>
              <w:t xml:space="preserve">Acronym / Term</w:t>
            </w:r>
          </w:p>
        </w:tc>
        <w:tc>
          <w:tcPr>
            <w:tcW w:type="dxa" w:w="6500"/>
            <w:shd w:fill="F2F2F2" w:val="clear"/>
            <w:vAlign w:val="center"/>
          </w:tcPr>
          <w:p>
            <w:pPr>
              <w:jc w:val="left"/>
            </w:pPr>
            <w:r>
              <w:rPr>
                <w:rFonts w:ascii="Calibri" w:cs="Calibri" w:eastAsia="Calibri" w:hAnsi="Calibri"/>
                <w:b/>
                <w:bCs/>
                <w:color w:val="000000"/>
                <w:sz w:val="22"/>
                <w:szCs w:val="22"/>
              </w:rPr>
              <w:t xml:space="preserve">Definition</w:t>
            </w:r>
          </w:p>
        </w:tc>
      </w:tr>
      <w:tr>
        <w:tc>
          <w:tcPr>
            <w:tcW w:type="dxa" w:w="2500"/>
            <w:vAlign w:val="center"/>
          </w:tcPr>
          <w:p>
            <w:pPr>
              <w:jc w:val="left"/>
            </w:pPr>
            <w:r>
              <w:rPr>
                <w:rFonts w:ascii="Calibri" w:cs="Calibri" w:eastAsia="Calibri" w:hAnsi="Calibri"/>
                <w:b w:val="false"/>
                <w:bCs w:val="false"/>
                <w:color w:val="000000"/>
                <w:sz w:val="22"/>
                <w:szCs w:val="22"/>
              </w:rPr>
              <w:t xml:space="preserve">ASL</w:t>
            </w:r>
          </w:p>
        </w:tc>
        <w:tc>
          <w:tcPr>
            <w:tcW w:type="dxa" w:w="6500"/>
            <w:vAlign w:val="center"/>
          </w:tcPr>
          <w:p>
            <w:pPr>
              <w:jc w:val="left"/>
            </w:pPr>
            <w:r>
              <w:rPr>
                <w:rFonts w:ascii="Calibri" w:cs="Calibri" w:eastAsia="Calibri" w:hAnsi="Calibri"/>
                <w:b w:val="false"/>
                <w:bCs w:val="false"/>
                <w:color w:val="000000"/>
                <w:sz w:val="22"/>
                <w:szCs w:val="22"/>
              </w:rPr>
              <w:t xml:space="preserve">Approved Supplier List</w:t>
            </w:r>
          </w:p>
        </w:tc>
      </w:tr>
      <w:tr>
        <w:tc>
          <w:tcPr>
            <w:tcW w:type="dxa" w:w="2500"/>
            <w:vAlign w:val="center"/>
          </w:tcPr>
          <w:p>
            <w:pPr>
              <w:jc w:val="left"/>
            </w:pPr>
            <w:r>
              <w:rPr>
                <w:rFonts w:ascii="Calibri" w:cs="Calibri" w:eastAsia="Calibri" w:hAnsi="Calibri"/>
                <w:b w:val="false"/>
                <w:bCs w:val="false"/>
                <w:color w:val="000000"/>
                <w:sz w:val="22"/>
                <w:szCs w:val="22"/>
              </w:rPr>
              <w:t xml:space="preserve">BU</w:t>
            </w:r>
          </w:p>
        </w:tc>
        <w:tc>
          <w:tcPr>
            <w:tcW w:type="dxa" w:w="6500"/>
            <w:vAlign w:val="center"/>
          </w:tcPr>
          <w:p>
            <w:pPr>
              <w:jc w:val="left"/>
            </w:pPr>
            <w:r>
              <w:rPr>
                <w:rFonts w:ascii="Calibri" w:cs="Calibri" w:eastAsia="Calibri" w:hAnsi="Calibri"/>
                <w:b w:val="false"/>
                <w:bCs w:val="false"/>
                <w:color w:val="000000"/>
                <w:sz w:val="22"/>
                <w:szCs w:val="22"/>
              </w:rPr>
              <w:t xml:space="preserve">Business Unit</w:t>
            </w:r>
          </w:p>
        </w:tc>
      </w:tr>
      <w:tr>
        <w:tc>
          <w:tcPr>
            <w:tcW w:type="dxa" w:w="2500"/>
            <w:vAlign w:val="center"/>
          </w:tcPr>
          <w:p>
            <w:pPr>
              <w:jc w:val="left"/>
            </w:pPr>
            <w:r>
              <w:rPr>
                <w:rFonts w:ascii="Calibri" w:cs="Calibri" w:eastAsia="Calibri" w:hAnsi="Calibri"/>
                <w:b w:val="false"/>
                <w:bCs w:val="false"/>
                <w:color w:val="000000"/>
                <w:sz w:val="22"/>
                <w:szCs w:val="22"/>
              </w:rPr>
              <w:t xml:space="preserve">FTA</w:t>
            </w:r>
          </w:p>
        </w:tc>
        <w:tc>
          <w:tcPr>
            <w:tcW w:type="dxa" w:w="6500"/>
            <w:vAlign w:val="center"/>
          </w:tcPr>
          <w:p>
            <w:pPr>
              <w:jc w:val="left"/>
            </w:pPr>
            <w:r>
              <w:rPr>
                <w:rFonts w:ascii="Calibri" w:cs="Calibri" w:eastAsia="Calibri" w:hAnsi="Calibri"/>
                <w:b w:val="false"/>
                <w:bCs w:val="false"/>
                <w:color w:val="000000"/>
                <w:sz w:val="22"/>
                <w:szCs w:val="22"/>
              </w:rPr>
              <w:t xml:space="preserve">Federal Tax Authority</w:t>
            </w:r>
          </w:p>
        </w:tc>
      </w:tr>
      <w:tr>
        <w:tc>
          <w:tcPr>
            <w:tcW w:type="dxa" w:w="2500"/>
            <w:vAlign w:val="center"/>
          </w:tcPr>
          <w:p>
            <w:pPr>
              <w:jc w:val="left"/>
            </w:pPr>
            <w:r>
              <w:rPr>
                <w:rFonts w:ascii="Calibri" w:cs="Calibri" w:eastAsia="Calibri" w:hAnsi="Calibri"/>
                <w:b w:val="false"/>
                <w:bCs w:val="false"/>
                <w:color w:val="000000"/>
                <w:sz w:val="22"/>
                <w:szCs w:val="22"/>
              </w:rPr>
              <w:t xml:space="preserve">GSC</w:t>
            </w:r>
          </w:p>
        </w:tc>
        <w:tc>
          <w:tcPr>
            <w:tcW w:type="dxa" w:w="6500"/>
            <w:vAlign w:val="center"/>
          </w:tcPr>
          <w:p>
            <w:pPr>
              <w:jc w:val="left"/>
            </w:pPr>
            <w:r>
              <w:rPr>
                <w:rFonts w:ascii="Calibri" w:cs="Calibri" w:eastAsia="Calibri" w:hAnsi="Calibri"/>
                <w:b w:val="false"/>
                <w:bCs w:val="false"/>
                <w:color w:val="000000"/>
                <w:sz w:val="22"/>
                <w:szCs w:val="22"/>
              </w:rPr>
              <w:t xml:space="preserve">Group Supply Chain</w:t>
            </w:r>
          </w:p>
        </w:tc>
      </w:tr>
      <w:tr>
        <w:tc>
          <w:tcPr>
            <w:tcW w:type="dxa" w:w="2500"/>
            <w:vAlign w:val="center"/>
          </w:tcPr>
          <w:p>
            <w:pPr>
              <w:jc w:val="left"/>
            </w:pPr>
            <w:r>
              <w:rPr>
                <w:rFonts w:ascii="Calibri" w:cs="Calibri" w:eastAsia="Calibri" w:hAnsi="Calibri"/>
                <w:b w:val="false"/>
                <w:bCs w:val="false"/>
                <w:color w:val="000000"/>
                <w:sz w:val="22"/>
                <w:szCs w:val="22"/>
              </w:rPr>
              <w:t xml:space="preserve">ITC</w:t>
            </w:r>
          </w:p>
        </w:tc>
        <w:tc>
          <w:tcPr>
            <w:tcW w:type="dxa" w:w="6500"/>
            <w:vAlign w:val="center"/>
          </w:tcPr>
          <w:p>
            <w:pPr>
              <w:jc w:val="left"/>
            </w:pPr>
            <w:r>
              <w:rPr>
                <w:rFonts w:ascii="Calibri" w:cs="Calibri" w:eastAsia="Calibri" w:hAnsi="Calibri"/>
                <w:b w:val="false"/>
                <w:bCs w:val="false"/>
                <w:color w:val="000000"/>
                <w:sz w:val="22"/>
                <w:szCs w:val="22"/>
              </w:rPr>
              <w:t xml:space="preserve">Input Tax Credit</w:t>
            </w:r>
          </w:p>
        </w:tc>
      </w:tr>
      <w:tr>
        <w:tc>
          <w:tcPr>
            <w:tcW w:type="dxa" w:w="2500"/>
            <w:vAlign w:val="center"/>
          </w:tcPr>
          <w:p>
            <w:pPr>
              <w:jc w:val="left"/>
            </w:pPr>
            <w:r>
              <w:rPr>
                <w:rFonts w:ascii="Calibri" w:cs="Calibri" w:eastAsia="Calibri" w:hAnsi="Calibri"/>
                <w:b w:val="false"/>
                <w:bCs w:val="false"/>
                <w:color w:val="000000"/>
                <w:sz w:val="22"/>
                <w:szCs w:val="22"/>
              </w:rPr>
              <w:t xml:space="preserve">KPI</w:t>
            </w:r>
          </w:p>
        </w:tc>
        <w:tc>
          <w:tcPr>
            <w:tcW w:type="dxa" w:w="6500"/>
            <w:vAlign w:val="center"/>
          </w:tcPr>
          <w:p>
            <w:pPr>
              <w:jc w:val="left"/>
            </w:pPr>
            <w:r>
              <w:rPr>
                <w:rFonts w:ascii="Calibri" w:cs="Calibri" w:eastAsia="Calibri" w:hAnsi="Calibri"/>
                <w:b w:val="false"/>
                <w:bCs w:val="false"/>
                <w:color w:val="000000"/>
                <w:sz w:val="22"/>
                <w:szCs w:val="22"/>
              </w:rPr>
              <w:t xml:space="preserve">Key Performance Indicator</w:t>
            </w:r>
          </w:p>
        </w:tc>
      </w:tr>
      <w:tr>
        <w:tc>
          <w:tcPr>
            <w:tcW w:type="dxa" w:w="2500"/>
            <w:vAlign w:val="center"/>
          </w:tcPr>
          <w:p>
            <w:pPr>
              <w:jc w:val="left"/>
            </w:pPr>
            <w:r>
              <w:rPr>
                <w:rFonts w:ascii="Calibri" w:cs="Calibri" w:eastAsia="Calibri" w:hAnsi="Calibri"/>
                <w:b w:val="false"/>
                <w:bCs w:val="false"/>
                <w:color w:val="000000"/>
                <w:sz w:val="22"/>
                <w:szCs w:val="22"/>
              </w:rPr>
              <w:t xml:space="preserve">PO</w:t>
            </w:r>
          </w:p>
        </w:tc>
        <w:tc>
          <w:tcPr>
            <w:tcW w:type="dxa" w:w="6500"/>
            <w:vAlign w:val="center"/>
          </w:tcPr>
          <w:p>
            <w:pPr>
              <w:jc w:val="left"/>
            </w:pPr>
            <w:r>
              <w:rPr>
                <w:rFonts w:ascii="Calibri" w:cs="Calibri" w:eastAsia="Calibri" w:hAnsi="Calibri"/>
                <w:b w:val="false"/>
                <w:bCs w:val="false"/>
                <w:color w:val="000000"/>
                <w:sz w:val="22"/>
                <w:szCs w:val="22"/>
              </w:rPr>
              <w:t xml:space="preserve">Purchase Order</w:t>
            </w:r>
          </w:p>
        </w:tc>
      </w:tr>
      <w:tr>
        <w:tc>
          <w:tcPr>
            <w:tcW w:type="dxa" w:w="2500"/>
            <w:vAlign w:val="center"/>
          </w:tcPr>
          <w:p>
            <w:pPr>
              <w:jc w:val="left"/>
            </w:pPr>
            <w:r>
              <w:rPr>
                <w:rFonts w:ascii="Calibri" w:cs="Calibri" w:eastAsia="Calibri" w:hAnsi="Calibri"/>
                <w:b w:val="false"/>
                <w:bCs w:val="false"/>
                <w:color w:val="000000"/>
                <w:sz w:val="22"/>
                <w:szCs w:val="22"/>
              </w:rPr>
              <w:t xml:space="preserve">TRN</w:t>
            </w:r>
          </w:p>
        </w:tc>
        <w:tc>
          <w:tcPr>
            <w:tcW w:type="dxa" w:w="6500"/>
            <w:vAlign w:val="center"/>
          </w:tcPr>
          <w:p>
            <w:pPr>
              <w:jc w:val="left"/>
            </w:pPr>
            <w:r>
              <w:rPr>
                <w:rFonts w:ascii="Calibri" w:cs="Calibri" w:eastAsia="Calibri" w:hAnsi="Calibri"/>
                <w:b w:val="false"/>
                <w:bCs w:val="false"/>
                <w:color w:val="000000"/>
                <w:sz w:val="22"/>
                <w:szCs w:val="22"/>
              </w:rPr>
              <w:t xml:space="preserve">Tax Registration Number</w:t>
            </w:r>
          </w:p>
        </w:tc>
      </w:tr>
      <w:tr>
        <w:tc>
          <w:tcPr>
            <w:tcW w:type="dxa" w:w="2500"/>
            <w:vAlign w:val="center"/>
          </w:tcPr>
          <w:p>
            <w:pPr>
              <w:jc w:val="left"/>
            </w:pPr>
            <w:r>
              <w:rPr>
                <w:rFonts w:ascii="Calibri" w:cs="Calibri" w:eastAsia="Calibri" w:hAnsi="Calibri"/>
                <w:b w:val="false"/>
                <w:bCs w:val="false"/>
                <w:color w:val="000000"/>
                <w:sz w:val="22"/>
                <w:szCs w:val="22"/>
              </w:rPr>
              <w:t xml:space="preserve">VAT</w:t>
            </w:r>
          </w:p>
        </w:tc>
        <w:tc>
          <w:tcPr>
            <w:tcW w:type="dxa" w:w="6500"/>
            <w:vAlign w:val="center"/>
          </w:tcPr>
          <w:p>
            <w:pPr>
              <w:jc w:val="left"/>
            </w:pPr>
            <w:r>
              <w:rPr>
                <w:rFonts w:ascii="Calibri" w:cs="Calibri" w:eastAsia="Calibri" w:hAnsi="Calibri"/>
                <w:b w:val="false"/>
                <w:bCs w:val="false"/>
                <w:color w:val="000000"/>
                <w:sz w:val="22"/>
                <w:szCs w:val="22"/>
              </w:rPr>
              <w:t xml:space="preserve">Value Added Tax</w:t>
            </w:r>
          </w:p>
        </w:tc>
      </w:tr>
    </w:tbl>
    <w:p>
      <w:pPr>
        <w:pStyle w:val="Heading1"/>
        <w:spacing w:after="120" w:before="240"/>
      </w:pPr>
      <w:r>
        <w:rPr>
          <w:rFonts w:ascii="Calibri" w:cs="Calibri" w:eastAsia="Calibri" w:hAnsi="Calibri"/>
          <w:b/>
          <w:bCs/>
          <w:color w:val="1F4E79"/>
          <w:sz w:val="28"/>
          <w:szCs w:val="28"/>
        </w:rPr>
        <w:t xml:space="preserve">14. Review &amp; Ownership</w:t>
      </w:r>
    </w:p>
    <w:p>
      <w:pPr>
        <w:spacing w:after="120"/>
        <w:jc w:val="left"/>
      </w:pPr>
      <w:r>
        <w:rPr>
          <w:rFonts w:ascii="Calibri" w:cs="Calibri" w:eastAsia="Calibri" w:hAnsi="Calibri"/>
          <w:sz w:val="22"/>
          <w:szCs w:val="22"/>
        </w:rPr>
        <w:t xml:space="preserve">This policy is owned by Group Supply Chain in coordination with Group Finance / Tax. It is reviewed annually or upon any amendment to FTA regulations affecting ITC conditions. Next review: October 2027.</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 Id="rId8" Type="http://schemas.openxmlformats.org/officeDocument/2006/relationships/hyperlink" Target="https://archive.org/download/bukhatir-procurement-forms/F-ITC-01_-_Supplier_ITC_Verification_Checklist.docx" TargetMode="External"/><Relationship Id="rId9" Type="http://schemas.openxmlformats.org/officeDocument/2006/relationships/hyperlink" Target="https://archive.org/download/bukhatir-procurement-forms/F-ITC-02_-_Supply_ITC_Verification_Checklist.docx" TargetMode="External"/><Relationship Id="rId10" Type="http://schemas.openxmlformats.org/officeDocument/2006/relationships/hyperlink" Target="https://archive.org/download/bukhatir-procurement-forms/F-ITC-01_-_Supplier_ITC_Verification_Checklist.docx" TargetMode="External"/><Relationship Id="rId11" Type="http://schemas.openxmlformats.org/officeDocument/2006/relationships/hyperlink" Target="https://archive.org/download/bukhatir-procurement-forms/F-ITC-02_-_Supply_ITC_Verification_Checklist.docx" TargetMode="External"/><Relationship Id="rId12" Type="http://schemas.openxmlformats.org/officeDocument/2006/relationships/hyperlink" Target="https://archive.org/download/bukhatir-procurement-forms/F-VMD-01_-_Vendor_Registration_Request_Form.docx" TargetMode="External"/><Relationship Id="rId13" Type="http://schemas.openxmlformats.org/officeDocument/2006/relationships/hyperlink" Target="https://archive.org/download/bukhatir-procurement-forms/F-SPR-01_-_Supplier_Performance_Scorecard.docx" TargetMode="External"/><Relationship Id="rId14" Type="http://schemas.openxmlformats.org/officeDocument/2006/relationships/hyperlink" Target="https://archive.org/download/bukhatir-procurement-policies/P-POL-006_-_SOP5_-_Supplier_Evaluation.docx" TargetMode="External"/><Relationship Id="rId15" Type="http://schemas.openxmlformats.org/officeDocument/2006/relationships/hyperlink" Target="https://archive.org/download/bukhatir-procurement-policies/P-POL-020_-_Vendor_Master_Data_Management.docx" TargetMode="External"/><Relationship Id="rId16" Type="http://schemas.openxmlformats.org/officeDocument/2006/relationships/hyperlink" Target="https://archive.org/download/bukhatir-procurement-policies/P-POL-023_-_Payment_Terms_and_Invoice_Processing.docx" TargetMode="External"/><Relationship Id="rId17" Type="http://schemas.openxmlformats.org/officeDocument/2006/relationships/hyperlink" Target="https://archive.org/download/bukhatir-procurement-policies/P-POL-030_-_Cash_Purchases.docx" TargetMode="External"/><Relationship Id="rId18" Type="http://schemas.openxmlformats.org/officeDocument/2006/relationships/hyperlink" Target="https://archive.org/download/bukhatir-procurement-policies/P-POL-005_-_SOP4_-_Purchase_Orders.docx" TargetMode="External"/><Relationship Id="rId19" Type="http://schemas.openxmlformats.org/officeDocument/2006/relationships/hyperlink" Target="https://archive.org/download/bukhatir-procurement-policies/P-POL-027_-_Procurement_Audit_and_Compliance.docx" TargetMode="External"/><Relationship Id="rId20" Type="http://schemas.openxmlformats.org/officeDocument/2006/relationships/hyperlink" Target="https://archive.org/download/bukhatir-procurement-policies/P-POL-016_-_Risk_Management_in_Procurement.docx" TargetMode="External"/><Relationship Id="rId21" Type="http://schemas.openxmlformats.org/officeDocument/2006/relationships/hyperlink" Target="https://archive.org/download/bukhatir-procurement-policies/P-POL-025_-_Import_Customs_and_Logistics.docx" TargetMode="Externa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2026-08-21T06:42:35.293Z</dcterms:created>
  <dcterms:modified xsi:type="dcterms:W3CDTF">2026-08-21T06:42:35.293Z</dcterms:modified>
</cp:coreProperties>
</file>

<file path=docProps/custom.xml><?xml version="1.0" encoding="utf-8"?>
<Properties xmlns="http://schemas.openxmlformats.org/officeDocument/2006/custom-properties" xmlns:vt="http://schemas.openxmlformats.org/officeDocument/2006/docPropsVTypes"/>
</file>