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Framework Agreements &amp; Blanket Orders</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Framework Agreements &amp; Blanket Orders</w:t>
      </w:r>
    </w:p>
    <w:p>
      <w:pPr>
        <w:spacing w:after="400"/>
        <w:jc w:val="center"/>
      </w:pPr>
      <w:r>
        <w:rPr>
          <w:rFonts w:ascii="Calibri" w:cs="Calibri" w:eastAsia="Calibri" w:hAnsi="Calibri"/>
          <w:i/>
          <w:iCs/>
          <w:color w:val="6B7280"/>
          <w:sz w:val="24"/>
          <w:szCs w:val="24"/>
        </w:rPr>
        <w:t xml:space="preserve">Long-Term Arrangements, Call-Off &amp; Rate Contracts</w:t>
      </w:r>
    </w:p>
    <w:p>
      <w:pPr>
        <w:spacing w:after="600" w:before="600"/>
      </w:pPr>
      <w:r>
        <w:t xml:space="preserve"/>
      </w:r>
    </w:p>
    <w:p>
      <w:pPr>
        <w:jc w:val="center"/>
      </w:pPr>
      <w:r>
        <w:rPr>
          <w:rFonts w:ascii="Calibri" w:cs="Calibri" w:eastAsia="Calibri" w:hAnsi="Calibri"/>
          <w:b/>
          <w:bCs/>
          <w:color w:val="1F3864"/>
          <w:sz w:val="28"/>
          <w:szCs w:val="28"/>
        </w:rPr>
        <w:t xml:space="preserve">Document No: P-POL-026</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Framework Agreements &amp; Blanket Orders</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Framework Agreements &amp; Blanket Orders</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policy establishes long-term framework supply arrangements for recurring procurement requirements. Frameworks optimize pricing through volume aggregation, reduce PO cycle time via call-off mechanics and build stable supplier relationships.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procurement categories where recurrent demand exists and spending justifies framework investment.</w:t>
      </w:r>
    </w:p>
    <w:p>
      <w:pPr>
        <w:pStyle w:val="Heading1"/>
        <w:pBdr>
          <w:bottom w:val="single" w:color="1F3864" w:sz="18" w:space="4"/>
        </w:pBdr>
        <w:spacing w:after="160" w:before="320"/>
      </w:pPr>
      <w:r>
        <w:rPr>
          <w:rFonts w:ascii="Calibri" w:cs="Calibri" w:eastAsia="Calibri" w:hAnsi="Calibri"/>
          <w:b/>
          <w:bCs/>
          <w:color w:val="1F3864"/>
          <w:sz w:val="30"/>
          <w:szCs w:val="30"/>
        </w:rPr>
        <w:t xml:space="preserve">3. When to Establish a Framework Agreement</w:t>
      </w:r>
    </w:p>
    <w:p>
      <w:pPr>
        <w:spacing w:after="60" w:before="60" w:line="290"/>
        <w:jc w:val="both"/>
      </w:pPr>
      <w:r>
        <w:rPr>
          <w:rFonts w:ascii="Calibri" w:cs="Calibri" w:eastAsia="Calibri" w:hAnsi="Calibri"/>
          <w:color w:val="222222"/>
          <w:sz w:val="22"/>
          <w:szCs w:val="22"/>
        </w:rPr>
        <w:t xml:space="preserve">Frameworks are established when one or both of the following criteria are met:</w:t>
      </w:r>
    </w:p>
    <w:p>
      <w:pPr>
        <w:pStyle w:val="ListParagraph"/>
        <w:numPr>
          <w:ilvl w:val="0"/>
          <w:numId w:val="2"/>
        </w:numPr>
        <w:spacing w:after="40" w:before="40"/>
      </w:pPr>
      <w:r>
        <w:rPr>
          <w:rFonts w:ascii="Calibri" w:cs="Calibri" w:eastAsia="Calibri" w:hAnsi="Calibri"/>
          <w:color w:val="222222"/>
          <w:sz w:val="22"/>
          <w:szCs w:val="22"/>
        </w:rPr>
        <w:t xml:space="preserve">Recurring annual spend in a category exceeds AED 100,000.</w:t>
      </w:r>
    </w:p>
    <w:p>
      <w:pPr>
        <w:pStyle w:val="ListParagraph"/>
        <w:numPr>
          <w:ilvl w:val="0"/>
          <w:numId w:val="2"/>
        </w:numPr>
        <w:spacing w:after="40" w:before="40"/>
      </w:pPr>
      <w:r>
        <w:rPr>
          <w:rFonts w:ascii="Calibri" w:cs="Calibri" w:eastAsia="Calibri" w:hAnsi="Calibri"/>
          <w:color w:val="222222"/>
          <w:sz w:val="22"/>
          <w:szCs w:val="22"/>
        </w:rPr>
        <w:t xml:space="preserve">The BU(s) place more than 3 POs to the same supplier within a 12-month period for the same commodity/service.</w:t>
      </w:r>
    </w:p>
    <w:p>
      <w:pPr>
        <w:spacing w:after="60" w:before="60" w:line="290"/>
        <w:jc w:val="both"/>
      </w:pPr>
      <w:r>
        <w:rPr>
          <w:rFonts w:ascii="Calibri" w:cs="Calibri" w:eastAsia="Calibri" w:hAnsi="Calibri"/>
          <w:color w:val="222222"/>
          <w:sz w:val="22"/>
          <w:szCs w:val="22"/>
        </w:rPr>
        <w:t xml:space="preserve">Frameworks enable GSC to negotiate terms once, deploy at scale and avoid repetitive negotiations. Smaller, one-off procurements continue via standard RFQ process.</w:t>
      </w:r>
    </w:p>
    <w:p>
      <w:pPr>
        <w:pStyle w:val="Heading1"/>
        <w:pBdr>
          <w:bottom w:val="single" w:color="1F3864" w:sz="18" w:space="4"/>
        </w:pBdr>
        <w:spacing w:after="160" w:before="320"/>
      </w:pPr>
      <w:r>
        <w:rPr>
          <w:rFonts w:ascii="Calibri" w:cs="Calibri" w:eastAsia="Calibri" w:hAnsi="Calibri"/>
          <w:b/>
          <w:bCs/>
          <w:color w:val="1F3864"/>
          <w:sz w:val="30"/>
          <w:szCs w:val="30"/>
        </w:rPr>
        <w:t xml:space="preserve">4. Framework Agreement Types</w:t>
      </w:r>
    </w:p>
    <w:p>
      <w:pPr>
        <w:pStyle w:val="Heading3"/>
        <w:spacing w:after="80" w:before="160"/>
      </w:pPr>
      <w:r>
        <w:rPr>
          <w:rFonts w:ascii="Calibri" w:cs="Calibri" w:eastAsia="Calibri" w:hAnsi="Calibri"/>
          <w:b/>
          <w:bCs/>
          <w:color w:val="1F3864"/>
          <w:sz w:val="22"/>
          <w:szCs w:val="22"/>
        </w:rPr>
        <w:t xml:space="preserve">Type 1: Framework Agreement (Call-Off Based)</w:t>
      </w:r>
    </w:p>
    <w:p>
      <w:pPr>
        <w:pStyle w:val="ListParagraph"/>
        <w:numPr>
          <w:ilvl w:val="0"/>
          <w:numId w:val="2"/>
        </w:numPr>
        <w:spacing w:after="40" w:before="40"/>
      </w:pPr>
      <w:r>
        <w:rPr>
          <w:rFonts w:ascii="Calibri" w:cs="Calibri" w:eastAsia="Calibri" w:hAnsi="Calibri"/>
          <w:color w:val="222222"/>
          <w:sz w:val="22"/>
          <w:szCs w:val="22"/>
        </w:rPr>
        <w:t xml:space="preserve">Structure: Master terms, pricing schedule, volume estimates; no fixed quantity commitment.</w:t>
      </w:r>
    </w:p>
    <w:p>
      <w:pPr>
        <w:pStyle w:val="ListParagraph"/>
        <w:numPr>
          <w:ilvl w:val="0"/>
          <w:numId w:val="2"/>
        </w:numPr>
        <w:spacing w:after="40" w:before="40"/>
      </w:pPr>
      <w:r>
        <w:rPr>
          <w:rFonts w:ascii="Calibri" w:cs="Calibri" w:eastAsia="Calibri" w:hAnsi="Calibri"/>
          <w:color w:val="222222"/>
          <w:sz w:val="22"/>
          <w:szCs w:val="22"/>
        </w:rPr>
        <w:t xml:space="preserve">Call-Off: BUs raise call-off POs referencing the framework without re-quoting.</w:t>
      </w:r>
    </w:p>
    <w:p>
      <w:pPr>
        <w:pStyle w:val="ListParagraph"/>
        <w:numPr>
          <w:ilvl w:val="0"/>
          <w:numId w:val="2"/>
        </w:numPr>
        <w:spacing w:after="40" w:before="40"/>
      </w:pPr>
      <w:r>
        <w:rPr>
          <w:rFonts w:ascii="Calibri" w:cs="Calibri" w:eastAsia="Calibri" w:hAnsi="Calibri"/>
          <w:color w:val="222222"/>
          <w:sz w:val="22"/>
          <w:szCs w:val="22"/>
        </w:rPr>
        <w:t xml:space="preserve">Flexibility: Framework accommodates volume variations and mix changes.</w:t>
      </w:r>
    </w:p>
    <w:p>
      <w:pPr>
        <w:pStyle w:val="ListParagraph"/>
        <w:numPr>
          <w:ilvl w:val="0"/>
          <w:numId w:val="2"/>
        </w:numPr>
        <w:spacing w:after="40" w:before="40"/>
      </w:pPr>
      <w:r>
        <w:rPr>
          <w:rFonts w:ascii="Calibri" w:cs="Calibri" w:eastAsia="Calibri" w:hAnsi="Calibri"/>
          <w:color w:val="222222"/>
          <w:sz w:val="22"/>
          <w:szCs w:val="22"/>
        </w:rPr>
        <w:t xml:space="preserve">Usage: Ideal for commodity supplies, consumables, services with variable demand.</w:t>
      </w:r>
    </w:p>
    <w:p>
      <w:pPr>
        <w:pStyle w:val="Heading3"/>
        <w:spacing w:after="80" w:before="160"/>
      </w:pPr>
      <w:r>
        <w:rPr>
          <w:rFonts w:ascii="Calibri" w:cs="Calibri" w:eastAsia="Calibri" w:hAnsi="Calibri"/>
          <w:b/>
          <w:bCs/>
          <w:color w:val="1F3864"/>
          <w:sz w:val="22"/>
          <w:szCs w:val="22"/>
        </w:rPr>
        <w:t xml:space="preserve">Type 2: Blanket Purchase Order (BPO)</w:t>
      </w:r>
    </w:p>
    <w:p>
      <w:pPr>
        <w:pStyle w:val="ListParagraph"/>
        <w:numPr>
          <w:ilvl w:val="0"/>
          <w:numId w:val="2"/>
        </w:numPr>
        <w:spacing w:after="40" w:before="40"/>
      </w:pPr>
      <w:r>
        <w:rPr>
          <w:rFonts w:ascii="Calibri" w:cs="Calibri" w:eastAsia="Calibri" w:hAnsi="Calibri"/>
          <w:color w:val="222222"/>
          <w:sz w:val="22"/>
          <w:szCs w:val="22"/>
        </w:rPr>
        <w:t xml:space="preserve">Structure: Fixed quantity and delivery schedule agreed upfront.</w:t>
      </w:r>
    </w:p>
    <w:p>
      <w:pPr>
        <w:pStyle w:val="ListParagraph"/>
        <w:numPr>
          <w:ilvl w:val="0"/>
          <w:numId w:val="2"/>
        </w:numPr>
        <w:spacing w:after="40" w:before="40"/>
      </w:pPr>
      <w:r>
        <w:rPr>
          <w:rFonts w:ascii="Calibri" w:cs="Calibri" w:eastAsia="Calibri" w:hAnsi="Calibri"/>
          <w:color w:val="222222"/>
          <w:sz w:val="22"/>
          <w:szCs w:val="22"/>
        </w:rPr>
        <w:t xml:space="preserve">Call-Off: Not applicable; deliveries follow the fixed schedule.</w:t>
      </w:r>
    </w:p>
    <w:p>
      <w:pPr>
        <w:pStyle w:val="ListParagraph"/>
        <w:numPr>
          <w:ilvl w:val="0"/>
          <w:numId w:val="2"/>
        </w:numPr>
        <w:spacing w:after="40" w:before="40"/>
      </w:pPr>
      <w:r>
        <w:rPr>
          <w:rFonts w:ascii="Calibri" w:cs="Calibri" w:eastAsia="Calibri" w:hAnsi="Calibri"/>
          <w:color w:val="222222"/>
          <w:sz w:val="22"/>
          <w:szCs w:val="22"/>
        </w:rPr>
        <w:t xml:space="preserve">Commitment: Supplier commits to full quantity; BU commits to off-take.</w:t>
      </w:r>
    </w:p>
    <w:p>
      <w:pPr>
        <w:pStyle w:val="ListParagraph"/>
        <w:numPr>
          <w:ilvl w:val="0"/>
          <w:numId w:val="2"/>
        </w:numPr>
        <w:spacing w:after="40" w:before="40"/>
      </w:pPr>
      <w:r>
        <w:rPr>
          <w:rFonts w:ascii="Calibri" w:cs="Calibri" w:eastAsia="Calibri" w:hAnsi="Calibri"/>
          <w:color w:val="222222"/>
          <w:sz w:val="22"/>
          <w:szCs w:val="22"/>
        </w:rPr>
        <w:t xml:space="preserve">Usage: High-volume uniform demand (e.g., 1,000 units/month for 12 months at fixed price).</w:t>
      </w:r>
    </w:p>
    <w:p>
      <w:pPr>
        <w:pStyle w:val="Heading3"/>
        <w:spacing w:after="80" w:before="160"/>
      </w:pPr>
      <w:r>
        <w:rPr>
          <w:rFonts w:ascii="Calibri" w:cs="Calibri" w:eastAsia="Calibri" w:hAnsi="Calibri"/>
          <w:b/>
          <w:bCs/>
          <w:color w:val="1F3864"/>
          <w:sz w:val="22"/>
          <w:szCs w:val="22"/>
        </w:rPr>
        <w:t xml:space="preserve">Type 3: Rate Contract</w:t>
      </w:r>
    </w:p>
    <w:p>
      <w:pPr>
        <w:pStyle w:val="ListParagraph"/>
        <w:numPr>
          <w:ilvl w:val="0"/>
          <w:numId w:val="2"/>
        </w:numPr>
        <w:spacing w:after="40" w:before="40"/>
      </w:pPr>
      <w:r>
        <w:rPr>
          <w:rFonts w:ascii="Calibri" w:cs="Calibri" w:eastAsia="Calibri" w:hAnsi="Calibri"/>
          <w:color w:val="222222"/>
          <w:sz w:val="22"/>
          <w:szCs w:val="22"/>
        </w:rPr>
        <w:t xml:space="preserve">Structure: Unit rate fixed for a period (12–36 months); quantity estimated but not guaranteed.</w:t>
      </w:r>
    </w:p>
    <w:p>
      <w:pPr>
        <w:pStyle w:val="ListParagraph"/>
        <w:numPr>
          <w:ilvl w:val="0"/>
          <w:numId w:val="2"/>
        </w:numPr>
        <w:spacing w:after="40" w:before="40"/>
      </w:pPr>
      <w:r>
        <w:rPr>
          <w:rFonts w:ascii="Calibri" w:cs="Calibri" w:eastAsia="Calibri" w:hAnsi="Calibri"/>
          <w:color w:val="222222"/>
          <w:sz w:val="22"/>
          <w:szCs w:val="22"/>
        </w:rPr>
        <w:t xml:space="preserve">Call-Off: BUs place orders at the fixed rate; no re-quotation.</w:t>
      </w:r>
    </w:p>
    <w:p>
      <w:pPr>
        <w:pStyle w:val="ListParagraph"/>
        <w:numPr>
          <w:ilvl w:val="0"/>
          <w:numId w:val="2"/>
        </w:numPr>
        <w:spacing w:after="40" w:before="40"/>
      </w:pPr>
      <w:r>
        <w:rPr>
          <w:rFonts w:ascii="Calibri" w:cs="Calibri" w:eastAsia="Calibri" w:hAnsi="Calibri"/>
          <w:color w:val="222222"/>
          <w:sz w:val="22"/>
          <w:szCs w:val="22"/>
        </w:rPr>
        <w:t xml:space="preserve">Price Adjustment: Annual CPI-linked review with raw material indexation clause (if applicable).</w:t>
      </w:r>
    </w:p>
    <w:p>
      <w:pPr>
        <w:pStyle w:val="ListParagraph"/>
        <w:numPr>
          <w:ilvl w:val="0"/>
          <w:numId w:val="2"/>
        </w:numPr>
        <w:spacing w:after="40" w:before="40"/>
      </w:pPr>
      <w:r>
        <w:rPr>
          <w:rFonts w:ascii="Calibri" w:cs="Calibri" w:eastAsia="Calibri" w:hAnsi="Calibri"/>
          <w:color w:val="222222"/>
          <w:sz w:val="22"/>
          <w:szCs w:val="22"/>
        </w:rPr>
        <w:t xml:space="preserve">Usage: Professional services, maintenance contracts, utilities-like recurring services.</w:t>
      </w:r>
    </w:p>
    <w:p>
      <w:pPr>
        <w:pStyle w:val="Heading1"/>
        <w:pBdr>
          <w:bottom w:val="single" w:color="1F3864" w:sz="18" w:space="4"/>
        </w:pBdr>
        <w:spacing w:after="160" w:before="320"/>
      </w:pPr>
      <w:r>
        <w:rPr>
          <w:rFonts w:ascii="Calibri" w:cs="Calibri" w:eastAsia="Calibri" w:hAnsi="Calibri"/>
          <w:b/>
          <w:bCs/>
          <w:color w:val="1F3864"/>
          <w:sz w:val="30"/>
          <w:szCs w:val="30"/>
        </w:rPr>
        <w:t xml:space="preserve">5. Competitive Tendering &amp; Award Process</w:t>
      </w:r>
    </w:p>
    <w:p>
      <w:pPr>
        <w:spacing w:after="60" w:before="60" w:line="290"/>
        <w:jc w:val="both"/>
      </w:pPr>
      <w:r>
        <w:rPr>
          <w:rFonts w:ascii="Calibri" w:cs="Calibri" w:eastAsia="Calibri" w:hAnsi="Calibri"/>
          <w:color w:val="222222"/>
          <w:sz w:val="22"/>
          <w:szCs w:val="22"/>
        </w:rPr>
        <w:t xml:space="preserve">All framework agreements are established via competitive RFQ process per P-POL-003:</w:t>
      </w:r>
    </w:p>
    <w:p>
      <w:pPr>
        <w:pStyle w:val="ListParagraph"/>
        <w:numPr>
          <w:ilvl w:val="0"/>
          <w:numId w:val="3"/>
        </w:numPr>
        <w:spacing w:after="40" w:before="40"/>
      </w:pPr>
      <w:r>
        <w:rPr>
          <w:rFonts w:ascii="Calibri" w:cs="Calibri" w:eastAsia="Calibri" w:hAnsi="Calibri"/>
          <w:color w:val="222222"/>
          <w:sz w:val="22"/>
          <w:szCs w:val="22"/>
        </w:rPr>
        <w:t xml:space="preserve">RFQ issued to minimum 3 qualified suppliers (for routine commodities) or 5+ (strategic items).</w:t>
      </w:r>
    </w:p>
    <w:p>
      <w:pPr>
        <w:pStyle w:val="ListParagraph"/>
        <w:numPr>
          <w:ilvl w:val="0"/>
          <w:numId w:val="3"/>
        </w:numPr>
        <w:spacing w:after="40" w:before="40"/>
      </w:pPr>
      <w:r>
        <w:rPr>
          <w:rFonts w:ascii="Calibri" w:cs="Calibri" w:eastAsia="Calibri" w:hAnsi="Calibri"/>
          <w:color w:val="222222"/>
          <w:sz w:val="22"/>
          <w:szCs w:val="22"/>
        </w:rPr>
        <w:t xml:space="preserve">Evaluation Criteria: Best value across price, quality, delivery, financial stability, references.</w:t>
      </w:r>
    </w:p>
    <w:p>
      <w:pPr>
        <w:pStyle w:val="ListParagraph"/>
        <w:numPr>
          <w:ilvl w:val="0"/>
          <w:numId w:val="3"/>
        </w:numPr>
        <w:spacing w:after="40" w:before="40"/>
      </w:pPr>
      <w:r>
        <w:rPr>
          <w:rFonts w:ascii="Calibri" w:cs="Calibri" w:eastAsia="Calibri" w:hAnsi="Calibri"/>
          <w:color w:val="222222"/>
          <w:sz w:val="22"/>
          <w:szCs w:val="22"/>
        </w:rPr>
        <w:t xml:space="preserve">Award: Framework is awarded to the best-value supplier; standby suppliers may be engaged for capacity backup.</w:t>
      </w:r>
    </w:p>
    <w:p>
      <w:pPr>
        <w:pStyle w:val="ListParagraph"/>
        <w:numPr>
          <w:ilvl w:val="0"/>
          <w:numId w:val="3"/>
        </w:numPr>
        <w:spacing w:after="40" w:before="40"/>
      </w:pPr>
      <w:r>
        <w:rPr>
          <w:rFonts w:ascii="Calibri" w:cs="Calibri" w:eastAsia="Calibri" w:hAnsi="Calibri"/>
          <w:color w:val="222222"/>
          <w:sz w:val="22"/>
          <w:szCs w:val="22"/>
        </w:rPr>
        <w:t xml:space="preserve">Framework Term: Standard term is 2 years, renewable for up to 1 additional year (3+1 structure).</w:t>
      </w:r>
    </w:p>
    <w:p>
      <w:pPr>
        <w:pStyle w:val="ListParagraph"/>
        <w:numPr>
          <w:ilvl w:val="0"/>
          <w:numId w:val="3"/>
        </w:numPr>
        <w:spacing w:after="40" w:before="40"/>
      </w:pPr>
      <w:r>
        <w:rPr>
          <w:rFonts w:ascii="Calibri" w:cs="Calibri" w:eastAsia="Calibri" w:hAnsi="Calibri"/>
          <w:color w:val="222222"/>
          <w:sz w:val="22"/>
          <w:szCs w:val="22"/>
        </w:rPr>
        <w:t xml:space="preserve">Renegotiation: At end of term, framework is re-tendered; incumbent supplier may recompete.</w:t>
      </w:r>
    </w:p>
    <w:p>
      <w:pPr>
        <w:pStyle w:val="Heading1"/>
        <w:pBdr>
          <w:bottom w:val="single" w:color="1F3864" w:sz="18" w:space="4"/>
        </w:pBdr>
        <w:spacing w:after="160" w:before="320"/>
      </w:pPr>
      <w:r>
        <w:rPr>
          <w:rFonts w:ascii="Calibri" w:cs="Calibri" w:eastAsia="Calibri" w:hAnsi="Calibri"/>
          <w:b/>
          <w:bCs/>
          <w:color w:val="1F3864"/>
          <w:sz w:val="30"/>
          <w:szCs w:val="30"/>
        </w:rPr>
        <w:t xml:space="preserve">6. Call-Off Procedure</w:t>
      </w:r>
    </w:p>
    <w:p>
      <w:pPr>
        <w:spacing w:after="60" w:before="60" w:line="290"/>
        <w:jc w:val="both"/>
      </w:pPr>
      <w:r>
        <w:rPr>
          <w:rFonts w:ascii="Calibri" w:cs="Calibri" w:eastAsia="Calibri" w:hAnsi="Calibri"/>
          <w:color w:val="222222"/>
          <w:sz w:val="22"/>
          <w:szCs w:val="22"/>
        </w:rPr>
        <w:t xml:space="preserve">Once a framework is activated, BUs place call-off orders via the following simplified procedure:</w:t>
      </w:r>
    </w:p>
    <w:p>
      <w:pPr>
        <w:pStyle w:val="ListParagraph"/>
        <w:numPr>
          <w:ilvl w:val="0"/>
          <w:numId w:val="3"/>
        </w:numPr>
        <w:spacing w:after="40" w:before="40"/>
      </w:pPr>
      <w:r>
        <w:rPr>
          <w:rFonts w:ascii="Calibri" w:cs="Calibri" w:eastAsia="Calibri" w:hAnsi="Calibri"/>
          <w:color w:val="222222"/>
          <w:sz w:val="22"/>
          <w:szCs w:val="22"/>
        </w:rPr>
        <w:t xml:space="preserve">BU Procurement raises a PO in Oracle, referencing the framework agreement number (e.g., 'Call-off under FAM-2024-001').</w:t>
      </w:r>
    </w:p>
    <w:p>
      <w:pPr>
        <w:pStyle w:val="ListParagraph"/>
        <w:numPr>
          <w:ilvl w:val="0"/>
          <w:numId w:val="3"/>
        </w:numPr>
        <w:spacing w:after="40" w:before="40"/>
      </w:pPr>
      <w:r>
        <w:rPr>
          <w:rFonts w:ascii="Calibri" w:cs="Calibri" w:eastAsia="Calibri" w:hAnsi="Calibri"/>
          <w:color w:val="222222"/>
          <w:sz w:val="22"/>
          <w:szCs w:val="22"/>
        </w:rPr>
        <w:t xml:space="preserve">PO automatically inherits the framework terms: unit price, payment terms, delivery schedule, quality standards.</w:t>
      </w:r>
    </w:p>
    <w:p>
      <w:pPr>
        <w:pStyle w:val="ListParagraph"/>
        <w:numPr>
          <w:ilvl w:val="0"/>
          <w:numId w:val="3"/>
        </w:numPr>
        <w:spacing w:after="40" w:before="40"/>
      </w:pPr>
      <w:r>
        <w:rPr>
          <w:rFonts w:ascii="Calibri" w:cs="Calibri" w:eastAsia="Calibri" w:hAnsi="Calibri"/>
          <w:color w:val="222222"/>
          <w:sz w:val="22"/>
          <w:szCs w:val="22"/>
        </w:rPr>
        <w:t xml:space="preserve">Supplier is notified of call-off and delivers against the PO.</w:t>
      </w:r>
    </w:p>
    <w:p>
      <w:pPr>
        <w:pStyle w:val="ListParagraph"/>
        <w:numPr>
          <w:ilvl w:val="0"/>
          <w:numId w:val="3"/>
        </w:numPr>
        <w:spacing w:after="40" w:before="40"/>
      </w:pPr>
      <w:r>
        <w:rPr>
          <w:rFonts w:ascii="Calibri" w:cs="Calibri" w:eastAsia="Calibri" w:hAnsi="Calibri"/>
          <w:color w:val="222222"/>
          <w:sz w:val="22"/>
          <w:szCs w:val="22"/>
        </w:rPr>
        <w:t xml:space="preserve">No re-quotation or further negotiation is permitted.</w:t>
      </w:r>
    </w:p>
    <w:p>
      <w:pPr>
        <w:spacing w:after="60" w:before="60" w:line="290"/>
        <w:jc w:val="both"/>
      </w:pPr>
      <w:r>
        <w:rPr>
          <w:rFonts w:ascii="Calibri" w:cs="Calibri" w:eastAsia="Calibri" w:hAnsi="Calibri"/>
          <w:color w:val="222222"/>
          <w:sz w:val="22"/>
          <w:szCs w:val="22"/>
        </w:rPr>
        <w:t xml:space="preserve">Target cycle time from demand to PO issuance: ≤ 2 business days (vs. 10–15 days for standard RFQ).</w:t>
      </w:r>
    </w:p>
    <w:p>
      <w:pPr>
        <w:pStyle w:val="Heading1"/>
        <w:pBdr>
          <w:bottom w:val="single" w:color="1F3864" w:sz="18" w:space="4"/>
        </w:pBdr>
        <w:spacing w:after="160" w:before="320"/>
      </w:pPr>
      <w:r>
        <w:rPr>
          <w:rFonts w:ascii="Calibri" w:cs="Calibri" w:eastAsia="Calibri" w:hAnsi="Calibri"/>
          <w:b/>
          <w:bCs/>
          <w:color w:val="1F3864"/>
          <w:sz w:val="30"/>
          <w:szCs w:val="30"/>
        </w:rPr>
        <w:t xml:space="preserve">7. Price Adjustment Mechanisms</w:t>
      </w:r>
    </w:p>
    <w:p>
      <w:pPr>
        <w:spacing w:after="60" w:before="60" w:line="290"/>
        <w:jc w:val="both"/>
      </w:pPr>
      <w:r>
        <w:rPr>
          <w:rFonts w:ascii="Calibri" w:cs="Calibri" w:eastAsia="Calibri" w:hAnsi="Calibri"/>
          <w:color w:val="222222"/>
          <w:sz w:val="22"/>
          <w:szCs w:val="22"/>
        </w:rPr>
        <w:t xml:space="preserve">Framework agreements include price adjustment clauses to address inflation and market changes:</w:t>
      </w:r>
    </w:p>
    <w:p>
      <w:pPr>
        <w:pStyle w:val="Heading3"/>
        <w:spacing w:after="80" w:before="160"/>
      </w:pPr>
      <w:r>
        <w:rPr>
          <w:rFonts w:ascii="Calibri" w:cs="Calibri" w:eastAsia="Calibri" w:hAnsi="Calibri"/>
          <w:b/>
          <w:bCs/>
          <w:color w:val="1F3864"/>
          <w:sz w:val="22"/>
          <w:szCs w:val="22"/>
        </w:rPr>
        <w:t xml:space="preserve">CPI-Linked Review (Goods &amp; Standard Services)</w:t>
      </w:r>
    </w:p>
    <w:p>
      <w:pPr>
        <w:pStyle w:val="ListParagraph"/>
        <w:numPr>
          <w:ilvl w:val="0"/>
          <w:numId w:val="2"/>
        </w:numPr>
        <w:spacing w:after="40" w:before="40"/>
      </w:pPr>
      <w:r>
        <w:rPr>
          <w:rFonts w:ascii="Calibri" w:cs="Calibri" w:eastAsia="Calibri" w:hAnsi="Calibri"/>
          <w:color w:val="222222"/>
          <w:sz w:val="22"/>
          <w:szCs w:val="22"/>
        </w:rPr>
        <w:t xml:space="preserve">Annual review: Price is adjusted by the UAE Consumer Price Index (CPI) change year-on-year.</w:t>
      </w:r>
    </w:p>
    <w:p>
      <w:pPr>
        <w:pStyle w:val="ListParagraph"/>
        <w:numPr>
          <w:ilvl w:val="0"/>
          <w:numId w:val="2"/>
        </w:numPr>
        <w:spacing w:after="40" w:before="40"/>
      </w:pPr>
      <w:r>
        <w:rPr>
          <w:rFonts w:ascii="Calibri" w:cs="Calibri" w:eastAsia="Calibri" w:hAnsi="Calibri"/>
          <w:color w:val="222222"/>
          <w:sz w:val="22"/>
          <w:szCs w:val="22"/>
        </w:rPr>
        <w:t xml:space="preserve">Floor/Ceiling: Price changes capped at +/– 3% per annum (unless extraordinary market events warrant exception).</w:t>
      </w:r>
    </w:p>
    <w:p>
      <w:pPr>
        <w:pStyle w:val="Heading3"/>
        <w:spacing w:after="80" w:before="160"/>
      </w:pPr>
      <w:r>
        <w:rPr>
          <w:rFonts w:ascii="Calibri" w:cs="Calibri" w:eastAsia="Calibri" w:hAnsi="Calibri"/>
          <w:b/>
          <w:bCs/>
          <w:color w:val="1F3864"/>
          <w:sz w:val="22"/>
          <w:szCs w:val="22"/>
        </w:rPr>
        <w:t xml:space="preserve">Raw Material Indexation (Commodities)</w:t>
      </w:r>
    </w:p>
    <w:p>
      <w:pPr>
        <w:pStyle w:val="ListParagraph"/>
        <w:numPr>
          <w:ilvl w:val="0"/>
          <w:numId w:val="2"/>
        </w:numPr>
        <w:spacing w:after="40" w:before="40"/>
      </w:pPr>
      <w:r>
        <w:rPr>
          <w:rFonts w:ascii="Calibri" w:cs="Calibri" w:eastAsia="Calibri" w:hAnsi="Calibri"/>
          <w:color w:val="222222"/>
          <w:sz w:val="22"/>
          <w:szCs w:val="22"/>
        </w:rPr>
        <w:t xml:space="preserve">For commodities heavily dependent on raw material costs (steel, chemicals, energy), a separate indexation clause applies.</w:t>
      </w:r>
    </w:p>
    <w:p>
      <w:pPr>
        <w:pStyle w:val="ListParagraph"/>
        <w:numPr>
          <w:ilvl w:val="0"/>
          <w:numId w:val="2"/>
        </w:numPr>
        <w:spacing w:after="40" w:before="40"/>
      </w:pPr>
      <w:r>
        <w:rPr>
          <w:rFonts w:ascii="Calibri" w:cs="Calibri" w:eastAsia="Calibri" w:hAnsi="Calibri"/>
          <w:color w:val="222222"/>
          <w:sz w:val="22"/>
          <w:szCs w:val="22"/>
        </w:rPr>
        <w:t xml:space="preserve">Index: Price component is linked to an external index (e.g., London Metal Exchange for steel, Platts for energy).</w:t>
      </w:r>
    </w:p>
    <w:p>
      <w:pPr>
        <w:pStyle w:val="ListParagraph"/>
        <w:numPr>
          <w:ilvl w:val="0"/>
          <w:numId w:val="2"/>
        </w:numPr>
        <w:spacing w:after="40" w:before="40"/>
      </w:pPr>
      <w:r>
        <w:rPr>
          <w:rFonts w:ascii="Calibri" w:cs="Calibri" w:eastAsia="Calibri" w:hAnsi="Calibri"/>
          <w:color w:val="222222"/>
          <w:sz w:val="22"/>
          <w:szCs w:val="22"/>
        </w:rPr>
        <w:t xml:space="preserve">Quarterly true-up: Actual invoice prices are adjusted quarterly based on index changes.</w:t>
      </w:r>
    </w:p>
    <w:p>
      <w:pPr>
        <w:pStyle w:val="Heading1"/>
        <w:pBdr>
          <w:bottom w:val="single" w:color="1F3864" w:sz="18" w:space="4"/>
        </w:pBdr>
        <w:spacing w:after="160" w:before="320"/>
      </w:pPr>
      <w:r>
        <w:rPr>
          <w:rFonts w:ascii="Calibri" w:cs="Calibri" w:eastAsia="Calibri" w:hAnsi="Calibri"/>
          <w:b/>
          <w:bCs/>
          <w:color w:val="1F3864"/>
          <w:sz w:val="30"/>
          <w:szCs w:val="30"/>
        </w:rPr>
        <w:t xml:space="preserve">8. Performance Monitoring &amp; OTIF Tracking</w:t>
      </w:r>
    </w:p>
    <w:p>
      <w:pPr>
        <w:spacing w:after="60" w:before="60" w:line="290"/>
        <w:jc w:val="both"/>
      </w:pPr>
      <w:r>
        <w:rPr>
          <w:rFonts w:ascii="Calibri" w:cs="Calibri" w:eastAsia="Calibri" w:hAnsi="Calibri"/>
          <w:color w:val="222222"/>
          <w:sz w:val="22"/>
          <w:szCs w:val="22"/>
        </w:rPr>
        <w:t xml:space="preserve">Framework suppliers are held accountable via quarterly performance reviews: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600"/>
        <w:gridCol w:w="3600"/>
        <w:gridCol w:w="1600"/>
        <w:gridCol w:w="2560"/>
      </w:tblGrid>
      <w:tr>
        <w:trPr>
          <w:tblHeader/>
        </w:trPr>
        <w:tc>
          <w:tcPr>
            <w:tcW w:type="dxa" w:w="1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KPI</w:t>
            </w:r>
          </w:p>
        </w:tc>
        <w:tc>
          <w:tcPr>
            <w:tcW w:type="dxa" w:w="3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c>
          <w:tcPr>
            <w:tcW w:type="dxa" w:w="1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Target</w:t>
            </w:r>
          </w:p>
        </w:tc>
        <w:tc>
          <w:tcPr>
            <w:tcW w:type="dxa" w:w="2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Consequence of Failure</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OTIF</w:t>
            </w:r>
          </w:p>
        </w:tc>
        <w:tc>
          <w:tcPr>
            <w:tcW w:type="dxa" w:w="3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On-Time In-Full delivery rate</w:t>
            </w:r>
          </w:p>
        </w:tc>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95%</w:t>
            </w:r>
          </w:p>
        </w:tc>
        <w:tc>
          <w:tcPr>
            <w:tcW w:type="dxa" w:w="2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First failure: warning; second: corrective action plan; third: termination for cause</w:t>
            </w:r>
          </w:p>
        </w:tc>
      </w:tr>
      <w:tr>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Quality</w:t>
            </w:r>
          </w:p>
        </w:tc>
        <w:tc>
          <w:tcPr>
            <w:tcW w:type="dxa" w:w="3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Non-Conformance Reports per 100 call-offs</w:t>
            </w:r>
          </w:p>
        </w:tc>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2%</w:t>
            </w:r>
          </w:p>
        </w:tc>
        <w:tc>
          <w:tcPr>
            <w:tcW w:type="dxa" w:w="2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Corrective action plan; continued failure triggers supplier removal</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Invoice Accuracy</w:t>
            </w:r>
          </w:p>
        </w:tc>
        <w:tc>
          <w:tcPr>
            <w:tcW w:type="dxa" w:w="3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call-offs passing three-way match first time</w:t>
            </w:r>
          </w:p>
        </w:tc>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98%</w:t>
            </w:r>
          </w:p>
        </w:tc>
        <w:tc>
          <w:tcPr>
            <w:tcW w:type="dxa" w:w="2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Corrective action plan</w:t>
            </w:r>
          </w:p>
        </w:tc>
      </w:tr>
    </w:tbl>
    <w:p>
      <w:pPr>
        <w:spacing w:after="60" w:before="60" w:line="290"/>
        <w:jc w:val="both"/>
      </w:pPr>
      <w:r>
        <w:rPr>
          <w:rFonts w:ascii="Calibri" w:cs="Calibri" w:eastAsia="Calibri" w:hAnsi="Calibri"/>
          <w:color w:val="222222"/>
          <w:sz w:val="22"/>
          <w:szCs w:val="22"/>
        </w:rPr>
        <w:t xml:space="preserve">Quarterly scorecards are prepared and shared with suppliers; poor performance triggers improvement discussions.</w:t>
      </w:r>
    </w:p>
    <w:p>
      <w:pPr>
        <w:pStyle w:val="Heading1"/>
        <w:pBdr>
          <w:bottom w:val="single" w:color="1F3864" w:sz="18" w:space="4"/>
        </w:pBdr>
        <w:spacing w:after="160" w:before="320"/>
      </w:pPr>
      <w:r>
        <w:rPr>
          <w:rFonts w:ascii="Calibri" w:cs="Calibri" w:eastAsia="Calibri" w:hAnsi="Calibri"/>
          <w:b/>
          <w:bCs/>
          <w:color w:val="1F3864"/>
          <w:sz w:val="30"/>
          <w:szCs w:val="30"/>
        </w:rPr>
        <w:t xml:space="preserve">9. Right to Terminate for Underperformance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PERFORMANCE-BASED TERMINATION RIGHT</w:t>
            </w:r>
          </w:p>
          <w:p>
            <w:pPr>
              <w:spacing w:before="80"/>
            </w:pPr>
            <w:r>
              <w:rPr>
                <w:rFonts w:ascii="Calibri" w:cs="Calibri" w:eastAsia="Calibri" w:hAnsi="Calibri"/>
                <w:color w:val="333333"/>
                <w:sz w:val="20"/>
                <w:szCs w:val="20"/>
              </w:rPr>
              <w:t xml:space="preserve">Group Supply Chain reserves the right to terminate a framework agreement if the supplier fails to meet KPI targets for 2 consecutive quarters, without penalty, with 30 days' written notice. Termination-for-cause invoices force migration to alternative suppliers and potential claims for cost differential.</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10. Framework Register &amp; Governance</w:t>
      </w:r>
    </w:p>
    <w:p>
      <w:pPr>
        <w:spacing w:after="60" w:before="60" w:line="290"/>
        <w:jc w:val="both"/>
      </w:pPr>
      <w:r>
        <w:rPr>
          <w:rFonts w:ascii="Calibri" w:cs="Calibri" w:eastAsia="Calibri" w:hAnsi="Calibri"/>
          <w:color w:val="222222"/>
          <w:sz w:val="22"/>
          <w:szCs w:val="22"/>
        </w:rPr>
        <w:t xml:space="preserve">GSC maintains a centralized Framework Register in Oracle/SharePoint:</w:t>
      </w:r>
    </w:p>
    <w:p>
      <w:pPr>
        <w:pStyle w:val="ListParagraph"/>
        <w:numPr>
          <w:ilvl w:val="0"/>
          <w:numId w:val="2"/>
        </w:numPr>
        <w:spacing w:after="40" w:before="40"/>
      </w:pPr>
      <w:r>
        <w:rPr>
          <w:rFonts w:ascii="Calibri" w:cs="Calibri" w:eastAsia="Calibri" w:hAnsi="Calibri"/>
          <w:color w:val="222222"/>
          <w:sz w:val="22"/>
          <w:szCs w:val="22"/>
        </w:rPr>
        <w:t xml:space="preserve">Register contents: Framework ID, description, supplier name, term dates, unit prices, annual volume estimate, category manager.</w:t>
      </w:r>
    </w:p>
    <w:p>
      <w:pPr>
        <w:pStyle w:val="ListParagraph"/>
        <w:numPr>
          <w:ilvl w:val="0"/>
          <w:numId w:val="2"/>
        </w:numPr>
        <w:spacing w:after="40" w:before="40"/>
      </w:pPr>
      <w:r>
        <w:rPr>
          <w:rFonts w:ascii="Calibri" w:cs="Calibri" w:eastAsia="Calibri" w:hAnsi="Calibri"/>
          <w:color w:val="222222"/>
          <w:sz w:val="22"/>
          <w:szCs w:val="22"/>
        </w:rPr>
        <w:t xml:space="preserve">Expiry alerts: System alerts Category Manager 90 days before framework expires; renewal decision required by 60-day mark.</w:t>
      </w:r>
    </w:p>
    <w:p>
      <w:pPr>
        <w:pStyle w:val="ListParagraph"/>
        <w:numPr>
          <w:ilvl w:val="0"/>
          <w:numId w:val="2"/>
        </w:numPr>
        <w:spacing w:after="40" w:before="40"/>
      </w:pPr>
      <w:r>
        <w:rPr>
          <w:rFonts w:ascii="Calibri" w:cs="Calibri" w:eastAsia="Calibri" w:hAnsi="Calibri"/>
          <w:color w:val="222222"/>
          <w:sz w:val="22"/>
          <w:szCs w:val="22"/>
        </w:rPr>
        <w:t xml:space="preserve">Monthly utilization report: Call-off volumes vs. forecast tracked and reported to BU Heads.</w:t>
      </w:r>
    </w:p>
    <w:p>
      <w:pPr>
        <w:pStyle w:val="ListParagraph"/>
        <w:numPr>
          <w:ilvl w:val="0"/>
          <w:numId w:val="2"/>
        </w:numPr>
        <w:spacing w:after="40" w:before="40"/>
      </w:pPr>
      <w:r>
        <w:rPr>
          <w:rFonts w:ascii="Calibri" w:cs="Calibri" w:eastAsia="Calibri" w:hAnsi="Calibri"/>
          <w:color w:val="222222"/>
          <w:sz w:val="22"/>
          <w:szCs w:val="22"/>
        </w:rPr>
        <w:t xml:space="preserve">Annual review: Category Manager conducts value-for-money assessment; if supplier performance or market conditions have shifted significantly, framework is re-tendered.</w:t>
      </w:r>
    </w:p>
    <w:p>
      <w:pPr>
        <w:pStyle w:val="Heading1"/>
        <w:pBdr>
          <w:bottom w:val="single" w:color="1F3864" w:sz="18" w:space="4"/>
        </w:pBdr>
        <w:spacing w:after="160" w:before="320"/>
      </w:pPr>
      <w:r>
        <w:rPr>
          <w:rFonts w:ascii="Calibri" w:cs="Calibri" w:eastAsia="Calibri" w:hAnsi="Calibri"/>
          <w:b/>
          <w:bCs/>
          <w:color w:val="1F3864"/>
          <w:sz w:val="30"/>
          <w:szCs w:val="30"/>
        </w:rPr>
        <w:t xml:space="preserve">11. Demand Planning &amp; Volume Forecasting</w:t>
      </w:r>
    </w:p>
    <w:p>
      <w:pPr>
        <w:spacing w:after="60" w:before="60" w:line="290"/>
        <w:jc w:val="both"/>
      </w:pPr>
      <w:r>
        <w:rPr>
          <w:rFonts w:ascii="Calibri" w:cs="Calibri" w:eastAsia="Calibri" w:hAnsi="Calibri"/>
          <w:color w:val="222222"/>
          <w:sz w:val="22"/>
          <w:szCs w:val="22"/>
        </w:rPr>
        <w:t xml:space="preserve">BUs provide annual demand forecasts to GSC by October 31st of each year:</w:t>
      </w:r>
    </w:p>
    <w:p>
      <w:pPr>
        <w:pStyle w:val="ListParagraph"/>
        <w:numPr>
          <w:ilvl w:val="0"/>
          <w:numId w:val="2"/>
        </w:numPr>
        <w:spacing w:after="40" w:before="40"/>
      </w:pPr>
      <w:r>
        <w:rPr>
          <w:rFonts w:ascii="Calibri" w:cs="Calibri" w:eastAsia="Calibri" w:hAnsi="Calibri"/>
          <w:color w:val="222222"/>
          <w:sz w:val="22"/>
          <w:szCs w:val="22"/>
        </w:rPr>
        <w:t xml:space="preserve">Forecasts by category: Expected volumes (units, value, mix) for the upcoming calendar year.</w:t>
      </w:r>
    </w:p>
    <w:p>
      <w:pPr>
        <w:pStyle w:val="ListParagraph"/>
        <w:numPr>
          <w:ilvl w:val="0"/>
          <w:numId w:val="2"/>
        </w:numPr>
        <w:spacing w:after="40" w:before="40"/>
      </w:pPr>
      <w:r>
        <w:rPr>
          <w:rFonts w:ascii="Calibri" w:cs="Calibri" w:eastAsia="Calibri" w:hAnsi="Calibri"/>
          <w:color w:val="222222"/>
          <w:sz w:val="22"/>
          <w:szCs w:val="22"/>
        </w:rPr>
        <w:t xml:space="preserve">Forecasts inform framework negotiations: Volume commitments and pricing are anchored on forecast quantities.</w:t>
      </w:r>
    </w:p>
    <w:p>
      <w:pPr>
        <w:pStyle w:val="ListParagraph"/>
        <w:numPr>
          <w:ilvl w:val="0"/>
          <w:numId w:val="2"/>
        </w:numPr>
        <w:spacing w:after="40" w:before="40"/>
      </w:pPr>
      <w:r>
        <w:rPr>
          <w:rFonts w:ascii="Calibri" w:cs="Calibri" w:eastAsia="Calibri" w:hAnsi="Calibri"/>
          <w:color w:val="222222"/>
          <w:sz w:val="22"/>
          <w:szCs w:val="22"/>
        </w:rPr>
        <w:t xml:space="preserve">Forecast accuracy: BUs are accountable for forecast accuracy; significant variances (&gt;20%) trigger review and corrective actions.</w:t>
      </w:r>
    </w:p>
    <w:p>
      <w:pPr>
        <w:pStyle w:val="Heading1"/>
        <w:pBdr>
          <w:bottom w:val="single" w:color="1F3864" w:sz="18" w:space="4"/>
        </w:pBdr>
        <w:spacing w:after="160" w:before="320"/>
      </w:pPr>
      <w:r>
        <w:rPr>
          <w:rFonts w:ascii="Calibri" w:cs="Calibri" w:eastAsia="Calibri" w:hAnsi="Calibri"/>
          <w:b/>
          <w:bCs/>
          <w:color w:val="1F3864"/>
          <w:sz w:val="30"/>
          <w:szCs w:val="30"/>
        </w:rPr>
        <w:t xml:space="preserve">12. Reference Forms</w:t>
      </w:r>
    </w:p>
    <w:p>
      <w:pPr>
        <w:pStyle w:val="ListParagraph"/>
        <w:numPr>
          <w:ilvl w:val="0"/>
          <w:numId w:val="2"/>
        </w:numPr>
        <w:spacing w:after="40" w:before="40"/>
      </w:pPr>
      <w:r>
        <w:rPr>
          <w:rFonts w:ascii="Calibri" w:cs="Calibri" w:eastAsia="Calibri" w:hAnsi="Calibri"/>
          <w:color w:val="222222"/>
          <w:sz w:val="22"/>
          <w:szCs w:val="22"/>
        </w:rPr>
        <w:t xml:space="preserve">Form F-FRM-01 — Framework Agreement Master Terms &amp; Conditions</w:t>
      </w:r>
    </w:p>
    <w:p>
      <w:pPr>
        <w:pStyle w:val="ListParagraph"/>
        <w:numPr>
          <w:ilvl w:val="0"/>
          <w:numId w:val="2"/>
        </w:numPr>
        <w:spacing w:after="40" w:before="40"/>
      </w:pPr>
      <w:r>
        <w:rPr>
          <w:rFonts w:ascii="Calibri" w:cs="Calibri" w:eastAsia="Calibri" w:hAnsi="Calibri"/>
          <w:color w:val="222222"/>
          <w:sz w:val="22"/>
          <w:szCs w:val="22"/>
        </w:rPr>
        <w:t xml:space="preserve">Form F-FRM-02 — Framework RFQ Template</w:t>
      </w:r>
    </w:p>
    <w:p>
      <w:pPr>
        <w:pStyle w:val="ListParagraph"/>
        <w:numPr>
          <w:ilvl w:val="0"/>
          <w:numId w:val="2"/>
        </w:numPr>
        <w:spacing w:after="40" w:before="40"/>
      </w:pPr>
      <w:r>
        <w:rPr>
          <w:rFonts w:ascii="Calibri" w:cs="Calibri" w:eastAsia="Calibri" w:hAnsi="Calibri"/>
          <w:color w:val="222222"/>
          <w:sz w:val="22"/>
          <w:szCs w:val="22"/>
        </w:rPr>
        <w:t xml:space="preserve">Form F-FRM-03 — Call-Off Purchase Order</w:t>
      </w:r>
    </w:p>
    <w:p>
      <w:pPr>
        <w:pStyle w:val="Heading1"/>
        <w:pBdr>
          <w:bottom w:val="single" w:color="1F3864" w:sz="18" w:space="4"/>
        </w:pBdr>
        <w:spacing w:after="160" w:before="320"/>
      </w:pPr>
      <w:r>
        <w:rPr>
          <w:rFonts w:ascii="Calibri" w:cs="Calibri" w:eastAsia="Calibri" w:hAnsi="Calibri"/>
          <w:b/>
          <w:bCs/>
          <w:color w:val="1F3864"/>
          <w:sz w:val="30"/>
          <w:szCs w:val="30"/>
        </w:rPr>
        <w:t xml:space="preserve">13.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CPI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Consumer Price Index</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OTIF</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On-Time, In-Full</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Request for Quotation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SLA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Service Level Agreement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TCO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Total Cost of Ownership</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P-POL-026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Framework Agreements &amp; Blanket Orders</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Framework Agreements &amp; Blanket Orders - P-POL-026</dc:title>
  <dc:creator>Bukhatir Group - Group Supply Chain</dc:creator>
  <cp:lastModifiedBy>Un-named</cp:lastModifiedBy>
  <cp:revision>1</cp:revision>
  <dcterms:created xsi:type="dcterms:W3CDTF">2026-04-13T04:45:55.855Z</dcterms:created>
  <dcterms:modified xsi:type="dcterms:W3CDTF">2026-04-13T04:45:55.855Z</dcterms:modified>
</cp:coreProperties>
</file>

<file path=docProps/custom.xml><?xml version="1.0" encoding="utf-8"?>
<Properties xmlns="http://schemas.openxmlformats.org/officeDocument/2006/custom-properties" xmlns:vt="http://schemas.openxmlformats.org/officeDocument/2006/docPropsVTypes"/>
</file>