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600"/>
        <w:gridCol w:w="4160"/>
      </w:tblGrid>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Policy &amp; Procedure</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Document No.</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bCs/>
                <w:color w:val="222222"/>
                <w:sz w:val="20"/>
                <w:szCs w:val="20"/>
              </w:rPr>
              <w:t xml:space="preserve">P-POL-025</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Supply Chain</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 | Rev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 | 08 APR 2026</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Title: Import, Customs &amp; Logistics</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r>
    </w:tbl>
    <w:p>
      <w:pPr>
        <w:spacing w:after="300" w:before="300"/>
      </w:pPr>
      <w:r>
        <w:t xml:space="preserve"/>
      </w:r>
    </w:p>
    <w:p>
      <w:pPr>
        <w:shd w:fill="1F3864" w:val="clear"/>
        <w:spacing w:after="100" w:before="200"/>
        <w:jc w:val="center"/>
      </w:pPr>
      <w:r>
        <w:rPr>
          <w:rFonts w:ascii="Calibri" w:cs="Calibri" w:eastAsia="Calibri" w:hAnsi="Calibri"/>
          <w:b/>
          <w:bCs/>
          <w:color w:val="FFFFFF"/>
          <w:sz w:val="44"/>
          <w:szCs w:val="44"/>
        </w:rPr>
        <w:t xml:space="preserve">BUKHATIR GROUP</w:t>
      </w:r>
    </w:p>
    <w:p>
      <w:pPr>
        <w:shd w:fill="2E75B6" w:val="clear"/>
        <w:spacing w:after="100" w:before="0"/>
        <w:jc w:val="center"/>
      </w:pPr>
      <w:r>
        <w:rPr>
          <w:rFonts w:ascii="Calibri" w:cs="Calibri" w:eastAsia="Calibri" w:hAnsi="Calibri"/>
          <w:i/>
          <w:iCs/>
          <w:color w:val="FFFFFF"/>
          <w:sz w:val="26"/>
          <w:szCs w:val="26"/>
        </w:rPr>
        <w:t xml:space="preserve">Strength through Diversity</w:t>
      </w:r>
    </w:p>
    <w:p>
      <w:pPr>
        <w:spacing w:after="400" w:before="400"/>
      </w:pPr>
      <w:r>
        <w:t xml:space="preserve"/>
      </w:r>
    </w:p>
    <w:p>
      <w:pPr>
        <w:spacing w:after="100" w:before="400"/>
        <w:jc w:val="center"/>
      </w:pPr>
      <w:r>
        <w:rPr>
          <w:rFonts w:ascii="Calibri" w:cs="Calibri" w:eastAsia="Calibri" w:hAnsi="Calibri"/>
          <w:b/>
          <w:bCs/>
          <w:color w:val="1F3864"/>
          <w:sz w:val="40"/>
          <w:szCs w:val="40"/>
        </w:rPr>
        <w:t xml:space="preserve">Group Policy and Procedure</w:t>
      </w:r>
    </w:p>
    <w:p>
      <w:pPr>
        <w:spacing w:after="600"/>
        <w:jc w:val="center"/>
      </w:pPr>
      <w:r>
        <w:rPr>
          <w:rFonts w:ascii="Calibri" w:cs="Calibri" w:eastAsia="Calibri" w:hAnsi="Calibri"/>
          <w:color w:val="2E75B6"/>
          <w:sz w:val="30"/>
          <w:szCs w:val="30"/>
        </w:rPr>
        <w:t xml:space="preserve">Group Supply Chain (GSC)</w:t>
      </w:r>
    </w:p>
    <w:p>
      <w:pPr>
        <w:spacing w:after="200"/>
        <w:jc w:val="center"/>
      </w:pPr>
      <w:r>
        <w:rPr>
          <w:rFonts w:ascii="Calibri" w:cs="Calibri" w:eastAsia="Calibri" w:hAnsi="Calibri"/>
          <w:b/>
          <w:bCs/>
          <w:color w:val="1F3864"/>
          <w:sz w:val="44"/>
          <w:szCs w:val="44"/>
        </w:rPr>
        <w:t xml:space="preserve">Import, Customs &amp; Logistics</w:t>
      </w:r>
    </w:p>
    <w:p>
      <w:pPr>
        <w:spacing w:after="400"/>
        <w:jc w:val="center"/>
      </w:pPr>
      <w:r>
        <w:rPr>
          <w:rFonts w:ascii="Calibri" w:cs="Calibri" w:eastAsia="Calibri" w:hAnsi="Calibri"/>
          <w:i/>
          <w:iCs/>
          <w:color w:val="6B7280"/>
          <w:sz w:val="24"/>
          <w:szCs w:val="24"/>
        </w:rPr>
        <w:t xml:space="preserve">Incoterms, Customs Clearance &amp; Freight Management</w:t>
      </w:r>
    </w:p>
    <w:p>
      <w:pPr>
        <w:spacing w:after="600" w:before="600"/>
      </w:pPr>
      <w:r>
        <w:t xml:space="preserve"/>
      </w:r>
    </w:p>
    <w:p>
      <w:pPr>
        <w:jc w:val="center"/>
      </w:pPr>
      <w:r>
        <w:rPr>
          <w:rFonts w:ascii="Calibri" w:cs="Calibri" w:eastAsia="Calibri" w:hAnsi="Calibri"/>
          <w:b/>
          <w:bCs/>
          <w:color w:val="1F3864"/>
          <w:sz w:val="28"/>
          <w:szCs w:val="28"/>
        </w:rPr>
        <w:t xml:space="preserve">Document No: P-POL-025</w:t>
      </w:r>
    </w:p>
    <w:p>
      <w:pPr>
        <w:spacing w:after="400" w:before="400"/>
      </w:pPr>
      <w:r>
        <w:t xml:space="preserve"/>
      </w:r>
    </w:p>
    <w:p>
      <w:pPr>
        <w:pBdr>
          <w:top w:val="single" w:color="C9A961" w:sz="12"/>
        </w:pBdr>
        <w:jc w:val="center"/>
      </w:pPr>
      <w:r>
        <w:rPr>
          <w:rFonts w:ascii="Calibri" w:cs="Calibri" w:eastAsia="Calibri" w:hAnsi="Calibri"/>
          <w:color w:val="6B7280"/>
          <w:sz w:val="18"/>
          <w:szCs w:val="18"/>
        </w:rPr>
        <w:t xml:space="preserve">Copyright © 2026 Bukhatir Group</w:t>
      </w:r>
    </w:p>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Revision Control</w:t>
      </w:r>
    </w:p>
    <w:p>
      <w:pPr>
        <w:spacing w:after="60" w:before="60" w:line="290"/>
        <w:jc w:val="both"/>
      </w:pPr>
      <w:r>
        <w:rPr>
          <w:rFonts w:ascii="Calibri" w:cs="Calibri" w:eastAsia="Calibri" w:hAnsi="Calibri"/>
          <w:color w:val="222222"/>
          <w:sz w:val="22"/>
          <w:szCs w:val="22"/>
        </w:rPr>
        <w:t xml:space="preserve">This document is issued under the authority of Bukhatir Group and applies when carrying out the activities described. Revisions may be issued as necessary under the authority of the Group Head of Procurement. Revision history is recorded below with every revised policy.</w:t>
      </w:r>
    </w:p>
    <w:p>
      <w:pPr>
        <w:spacing w:after="100" w:before="100"/>
      </w:pPr>
      <w:r>
        <w:t xml:space="preserve"/>
      </w:r>
    </w:p>
    <w:p>
      <w:pPr>
        <w:pStyle w:val="Heading2"/>
        <w:spacing w:after="100" w:before="220"/>
      </w:pPr>
      <w:r>
        <w:rPr>
          <w:rFonts w:ascii="Calibri" w:cs="Calibri" w:eastAsia="Calibri" w:hAnsi="Calibri"/>
          <w:b/>
          <w:bCs/>
          <w:color w:val="2E75B6"/>
          <w:sz w:val="26"/>
          <w:szCs w:val="26"/>
        </w:rPr>
        <w:t xml:space="preserve">Revision History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500"/>
        <w:gridCol w:w="5060"/>
      </w:tblGrid>
      <w:tr>
        <w:trPr>
          <w:tblHeader/>
        </w:trPr>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w:t>
            </w:r>
          </w:p>
        </w:tc>
        <w:tc>
          <w:tcPr>
            <w:tcW w:type="dxa" w:w="25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50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Description</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02</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September 2016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Original Procurement Policy</w:t>
            </w:r>
          </w:p>
        </w:tc>
      </w:tr>
      <w:tr>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0.3</w:t>
            </w:r>
          </w:p>
        </w:tc>
        <w:tc>
          <w:tcPr>
            <w:tcW w:type="dxa" w:w="25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March 2026</w:t>
            </w:r>
          </w:p>
        </w:tc>
        <w:tc>
          <w:tcPr>
            <w:tcW w:type="dxa" w:w="50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Procurement Policy – Import, Customs &amp; Logistics</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Redesign, content modernization &amp; flowcharts – Import, Customs &amp; Logistics</w:t>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Revision Sign-Off</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0"/>
        <w:gridCol w:w="3360"/>
        <w:gridCol w:w="2000"/>
      </w:tblGrid>
      <w:tr>
        <w:trPr>
          <w:tblHeader/>
        </w:trPr>
        <w:tc>
          <w:tcPr>
            <w:tcW w:type="dxa" w:w="4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Approving Committee</w:t>
            </w:r>
          </w:p>
        </w:tc>
        <w:tc>
          <w:tcPr>
            <w:tcW w:type="dxa" w:w="33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Name</w:t>
            </w:r>
          </w:p>
        </w:tc>
        <w:tc>
          <w:tcPr>
            <w:tcW w:type="dxa" w:w="2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Signature</w:t>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Endorsed by — Group Head of Supply Chain</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Koussa</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BIIL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Ayman Ismail</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Group Chief Financial Officer</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Adnaan Sait</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Approved by — Group Vice Chairman &amp; Group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Salah Bukhatir</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Distribution List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rPr>
          <w:tblHeader/>
        </w:trPr>
        <w:tc>
          <w:tcPr>
            <w:tcW w:type="dxa" w:w="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w:t>
            </w:r>
          </w:p>
        </w:tc>
        <w:tc>
          <w:tcPr>
            <w:tcW w:type="dxa" w:w="85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Departments</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1</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Procurement Departments</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2</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 (GSC)</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3</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Finance, Legal, Compliance, Internal Audit</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4</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Management</w:t>
            </w:r>
          </w:p>
        </w:tc>
      </w:tr>
    </w:tbl>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1. Purpose &amp; Objective</w:t>
      </w:r>
    </w:p>
    <w:p>
      <w:pPr>
        <w:spacing w:after="60" w:before="60" w:line="290"/>
        <w:jc w:val="both"/>
      </w:pPr>
      <w:r>
        <w:rPr>
          <w:rFonts w:ascii="Calibri" w:cs="Calibri" w:eastAsia="Calibri" w:hAnsi="Calibri"/>
          <w:color w:val="222222"/>
          <w:sz w:val="22"/>
          <w:szCs w:val="22"/>
        </w:rPr>
        <w:t xml:space="preserve">This policy manages international procurement logistics, customs clearance, freight and documentation. It optimizes Incoterms selection, ensures UAE customs compliance and minimizes import delays and costs.</w:t>
      </w:r>
    </w:p>
    <w:p>
      <w:pPr>
        <w:pStyle w:val="Heading1"/>
        <w:pBdr>
          <w:bottom w:val="single" w:color="1F3864" w:sz="18" w:space="4"/>
        </w:pBdr>
        <w:spacing w:after="160" w:before="320"/>
      </w:pPr>
      <w:r>
        <w:rPr>
          <w:rFonts w:ascii="Calibri" w:cs="Calibri" w:eastAsia="Calibri" w:hAnsi="Calibri"/>
          <w:b/>
          <w:bCs/>
          <w:color w:val="1F3864"/>
          <w:sz w:val="30"/>
          <w:szCs w:val="30"/>
        </w:rPr>
        <w:t xml:space="preserve">2. Scope</w:t>
      </w:r>
    </w:p>
    <w:p>
      <w:pPr>
        <w:spacing w:after="60" w:before="60" w:line="290"/>
        <w:jc w:val="both"/>
      </w:pPr>
      <w:r>
        <w:rPr>
          <w:rFonts w:ascii="Calibri" w:cs="Calibri" w:eastAsia="Calibri" w:hAnsi="Calibri"/>
          <w:color w:val="222222"/>
          <w:sz w:val="22"/>
          <w:szCs w:val="22"/>
        </w:rPr>
        <w:t xml:space="preserve">Applies to all cross-border procurements involving import into the UAE, whether to mainland or free zones.</w:t>
      </w:r>
    </w:p>
    <w:p>
      <w:pPr>
        <w:pStyle w:val="Heading1"/>
        <w:pBdr>
          <w:bottom w:val="single" w:color="1F3864" w:sz="18" w:space="4"/>
        </w:pBdr>
        <w:spacing w:after="160" w:before="320"/>
      </w:pPr>
      <w:r>
        <w:rPr>
          <w:rFonts w:ascii="Calibri" w:cs="Calibri" w:eastAsia="Calibri" w:hAnsi="Calibri"/>
          <w:b/>
          <w:bCs/>
          <w:color w:val="1F3864"/>
          <w:sz w:val="30"/>
          <w:szCs w:val="30"/>
        </w:rPr>
        <w:t xml:space="preserve">3. Incoterms 2020 Policy &amp; Preferred Terms</w:t>
      </w:r>
    </w:p>
    <w:p>
      <w:pPr>
        <w:spacing w:after="60" w:before="60" w:line="290"/>
        <w:jc w:val="both"/>
      </w:pPr>
      <w:r>
        <w:rPr>
          <w:rFonts w:ascii="Calibri" w:cs="Calibri" w:eastAsia="Calibri" w:hAnsi="Calibri"/>
          <w:color w:val="222222"/>
          <w:sz w:val="22"/>
          <w:szCs w:val="22"/>
        </w:rPr>
        <w:t xml:space="preserve">Bukhatir Group standardizes on Incoterms 2020 (International Commercial Terms) to clearly allocate risk, cost and responsibility. The following terms are preferred based on transport mode: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200"/>
        <w:gridCol w:w="2200"/>
        <w:gridCol w:w="2600"/>
        <w:gridCol w:w="1800"/>
        <w:gridCol w:w="1560"/>
      </w:tblGrid>
      <w:tr>
        <w:trPr>
          <w:tblHeader/>
        </w:trPr>
        <w:tc>
          <w:tcPr>
            <w:tcW w:type="dxa" w:w="1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Incoterm</w:t>
            </w:r>
          </w:p>
        </w:tc>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Applicability</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When to Use</w:t>
            </w:r>
          </w:p>
        </w:tc>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Risk Transfer Point</w:t>
            </w:r>
          </w:p>
        </w:tc>
        <w:tc>
          <w:tcPr>
            <w:tcW w:type="dxa" w:w="15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Typical Freight Cost Allocation</w:t>
            </w:r>
          </w:p>
        </w:tc>
      </w:tr>
      <w:tr>
        <w:tc>
          <w:tcPr>
            <w:tcW w:type="dxa" w:w="1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FOB (Free On Board)</w:t>
            </w:r>
          </w:p>
        </w:tc>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Sea freight only</w:t>
            </w:r>
          </w:p>
        </w:tc>
        <w:tc>
          <w:tcPr>
            <w:tcW w:type="dxa" w:w="26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Ocean shipments, CIF preferred</w:t>
            </w:r>
          </w:p>
        </w:tc>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Vessel side at port of loading</w:t>
            </w:r>
          </w:p>
        </w:tc>
        <w:tc>
          <w:tcPr>
            <w:tcW w:type="dxa" w:w="1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pays freight; supplier pays origin costs</w:t>
            </w:r>
          </w:p>
        </w:tc>
      </w:tr>
      <w:tr>
        <w:tc>
          <w:tcPr>
            <w:tcW w:type="dxa" w:w="1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FCA (Free Carrier)</w:t>
            </w:r>
          </w:p>
        </w:tc>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Air, land, sea</w:t>
            </w:r>
          </w:p>
        </w:tc>
        <w:tc>
          <w:tcPr>
            <w:tcW w:type="dxa" w:w="26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Air freight, multimodal</w:t>
            </w:r>
          </w:p>
        </w:tc>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When goods delivered to carrier</w:t>
            </w:r>
          </w:p>
        </w:tc>
        <w:tc>
          <w:tcPr>
            <w:tcW w:type="dxa" w:w="1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pays freight; supplier pays origin costs</w:t>
            </w:r>
          </w:p>
        </w:tc>
      </w:tr>
      <w:tr>
        <w:tc>
          <w:tcPr>
            <w:tcW w:type="dxa" w:w="1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DDP (Delivered Duty Paid)</w:t>
            </w:r>
          </w:p>
        </w:tc>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Any mode</w:t>
            </w:r>
          </w:p>
        </w:tc>
        <w:tc>
          <w:tcPr>
            <w:tcW w:type="dxa" w:w="26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Local suppliers or nearby regions</w:t>
            </w:r>
          </w:p>
        </w:tc>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Point of delivery at BU location</w:t>
            </w:r>
          </w:p>
        </w:tc>
        <w:tc>
          <w:tcPr>
            <w:tcW w:type="dxa" w:w="1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Supplier pays all costs including customs/duty</w:t>
            </w:r>
          </w:p>
        </w:tc>
      </w:tr>
    </w:tbl>
    <w:p>
      <w:pPr>
        <w:spacing w:after="60" w:before="60" w:line="290"/>
        <w:jc w:val="both"/>
      </w:pPr>
      <w:r>
        <w:rPr>
          <w:rFonts w:ascii="Calibri" w:cs="Calibri" w:eastAsia="Calibri" w:hAnsi="Calibri"/>
          <w:color w:val="222222"/>
          <w:sz w:val="22"/>
          <w:szCs w:val="22"/>
        </w:rPr>
        <w:t xml:space="preserve">Deviations from preferred terms (e.g., CIF, CIP) require BU Procurement and GSC joint approval. The decision matrix below guides selection: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2200"/>
        <w:gridCol w:w="4760"/>
      </w:tblGrid>
      <w:tr>
        <w:trPr>
          <w:tblHeader/>
        </w:trPr>
        <w:tc>
          <w:tcPr>
            <w:tcW w:type="dxa" w:w="24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Scenario</w:t>
            </w:r>
          </w:p>
        </w:tc>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Recommended Incoterm</w:t>
            </w:r>
          </w:p>
        </w:tc>
        <w:tc>
          <w:tcPr>
            <w:tcW w:type="dxa" w:w="47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Rationale</w:t>
            </w:r>
          </w:p>
        </w:tc>
      </w:tr>
      <w:tr>
        <w:tc>
          <w:tcPr>
            <w:tcW w:type="dxa" w:w="2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Established suppliers (tier-1, low-risk)</w:t>
            </w:r>
          </w:p>
        </w:tc>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FOB/FCA</w:t>
            </w:r>
          </w:p>
        </w:tc>
        <w:tc>
          <w:tcPr>
            <w:tcW w:type="dxa" w:w="47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Leverage cost control; manage freight directly</w:t>
            </w:r>
          </w:p>
        </w:tc>
      </w:tr>
      <w:tr>
        <w:tc>
          <w:tcPr>
            <w:tcW w:type="dxa" w:w="24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New / emerging market suppliers (higher risk)</w:t>
            </w:r>
          </w:p>
        </w:tc>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DDP</w:t>
            </w:r>
          </w:p>
        </w:tc>
        <w:tc>
          <w:tcPr>
            <w:tcW w:type="dxa" w:w="47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Transfer documentation and customs risk to supplier</w:t>
            </w:r>
          </w:p>
        </w:tc>
      </w:tr>
      <w:tr>
        <w:tc>
          <w:tcPr>
            <w:tcW w:type="dxa" w:w="2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Small orders, routine consumables</w:t>
            </w:r>
          </w:p>
        </w:tc>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DDP</w:t>
            </w:r>
          </w:p>
        </w:tc>
        <w:tc>
          <w:tcPr>
            <w:tcW w:type="dxa" w:w="47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Simplify administration; supplier bears overhead</w:t>
            </w:r>
          </w:p>
        </w:tc>
      </w:tr>
      <w:tr>
        <w:tc>
          <w:tcPr>
            <w:tcW w:type="dxa" w:w="24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Strategic long-lead items, large qty</w:t>
            </w:r>
          </w:p>
        </w:tc>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FOB</w:t>
            </w:r>
          </w:p>
        </w:tc>
        <w:tc>
          <w:tcPr>
            <w:tcW w:type="dxa" w:w="47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Negotiate freight separately; gain visibility into costs</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4. Freight Management</w:t>
      </w:r>
    </w:p>
    <w:p>
      <w:pPr>
        <w:pStyle w:val="Heading3"/>
        <w:spacing w:after="80" w:before="160"/>
      </w:pPr>
      <w:r>
        <w:rPr>
          <w:rFonts w:ascii="Calibri" w:cs="Calibri" w:eastAsia="Calibri" w:hAnsi="Calibri"/>
          <w:b/>
          <w:bCs/>
          <w:color w:val="1F3864"/>
          <w:sz w:val="22"/>
          <w:szCs w:val="22"/>
        </w:rPr>
        <w:t xml:space="preserve">Consolidation &amp; Carrier Selection</w:t>
      </w:r>
    </w:p>
    <w:p>
      <w:pPr>
        <w:pStyle w:val="ListParagraph"/>
        <w:numPr>
          <w:ilvl w:val="0"/>
          <w:numId w:val="2"/>
        </w:numPr>
        <w:spacing w:after="40" w:before="40"/>
      </w:pPr>
      <w:r>
        <w:rPr>
          <w:rFonts w:ascii="Calibri" w:cs="Calibri" w:eastAsia="Calibri" w:hAnsi="Calibri"/>
          <w:color w:val="222222"/>
          <w:sz w:val="22"/>
          <w:szCs w:val="22"/>
        </w:rPr>
        <w:t xml:space="preserve">Small shipments (&lt; 1 CBM) are consolidated with other BU orders for the same region to reduce per-unit freight cost.</w:t>
      </w:r>
    </w:p>
    <w:p>
      <w:pPr>
        <w:pStyle w:val="ListParagraph"/>
        <w:numPr>
          <w:ilvl w:val="0"/>
          <w:numId w:val="2"/>
        </w:numPr>
        <w:spacing w:after="40" w:before="40"/>
      </w:pPr>
      <w:r>
        <w:rPr>
          <w:rFonts w:ascii="Calibri" w:cs="Calibri" w:eastAsia="Calibri" w:hAnsi="Calibri"/>
          <w:color w:val="222222"/>
          <w:sz w:val="22"/>
          <w:szCs w:val="22"/>
        </w:rPr>
        <w:t xml:space="preserve">GSC maintains preferred freight carriers (sea, air, land) based on cost, reliability and insurance ratings.</w:t>
      </w:r>
    </w:p>
    <w:p>
      <w:pPr>
        <w:pStyle w:val="ListParagraph"/>
        <w:numPr>
          <w:ilvl w:val="0"/>
          <w:numId w:val="2"/>
        </w:numPr>
        <w:spacing w:after="40" w:before="40"/>
      </w:pPr>
      <w:r>
        <w:rPr>
          <w:rFonts w:ascii="Calibri" w:cs="Calibri" w:eastAsia="Calibri" w:hAnsi="Calibri"/>
          <w:color w:val="222222"/>
          <w:sz w:val="22"/>
          <w:szCs w:val="22"/>
        </w:rPr>
        <w:t xml:space="preserve">Ocean freight: preferred carriers are 3–4 major lines (via forwarder agreements).</w:t>
      </w:r>
    </w:p>
    <w:p>
      <w:pPr>
        <w:pStyle w:val="ListParagraph"/>
        <w:numPr>
          <w:ilvl w:val="0"/>
          <w:numId w:val="2"/>
        </w:numPr>
        <w:spacing w:after="40" w:before="40"/>
      </w:pPr>
      <w:r>
        <w:rPr>
          <w:rFonts w:ascii="Calibri" w:cs="Calibri" w:eastAsia="Calibri" w:hAnsi="Calibri"/>
          <w:color w:val="222222"/>
          <w:sz w:val="22"/>
          <w:szCs w:val="22"/>
        </w:rPr>
        <w:t xml:space="preserve">Air freight: negotiated rates with major carriers; used only for emergency or high-value express shipments.</w:t>
      </w:r>
    </w:p>
    <w:p>
      <w:pPr>
        <w:pStyle w:val="Heading3"/>
        <w:spacing w:after="80" w:before="160"/>
      </w:pPr>
      <w:r>
        <w:rPr>
          <w:rFonts w:ascii="Calibri" w:cs="Calibri" w:eastAsia="Calibri" w:hAnsi="Calibri"/>
          <w:b/>
          <w:bCs/>
          <w:color w:val="1F3864"/>
          <w:sz w:val="22"/>
          <w:szCs w:val="22"/>
        </w:rPr>
        <w:t xml:space="preserve">Rate Benchmarking</w:t>
      </w:r>
    </w:p>
    <w:p>
      <w:pPr>
        <w:pStyle w:val="ListParagraph"/>
        <w:numPr>
          <w:ilvl w:val="0"/>
          <w:numId w:val="2"/>
        </w:numPr>
        <w:spacing w:after="40" w:before="40"/>
      </w:pPr>
      <w:r>
        <w:rPr>
          <w:rFonts w:ascii="Calibri" w:cs="Calibri" w:eastAsia="Calibri" w:hAnsi="Calibri"/>
          <w:color w:val="222222"/>
          <w:sz w:val="22"/>
          <w:szCs w:val="22"/>
        </w:rPr>
        <w:t xml:space="preserve">Freight rates are benchmarked quarterly against market rates for comparable lanes.</w:t>
      </w:r>
    </w:p>
    <w:p>
      <w:pPr>
        <w:pStyle w:val="ListParagraph"/>
        <w:numPr>
          <w:ilvl w:val="0"/>
          <w:numId w:val="2"/>
        </w:numPr>
        <w:spacing w:after="40" w:before="40"/>
      </w:pPr>
      <w:r>
        <w:rPr>
          <w:rFonts w:ascii="Calibri" w:cs="Calibri" w:eastAsia="Calibri" w:hAnsi="Calibri"/>
          <w:color w:val="222222"/>
          <w:sz w:val="22"/>
          <w:szCs w:val="22"/>
        </w:rPr>
        <w:t xml:space="preserve">Savings or cost overruns vs. benchmark are tracked and discussed in carrier performance reviews.</w:t>
      </w:r>
    </w:p>
    <w:p>
      <w:pPr>
        <w:pStyle w:val="Heading1"/>
        <w:pBdr>
          <w:bottom w:val="single" w:color="1F3864" w:sz="18" w:space="4"/>
        </w:pBdr>
        <w:spacing w:after="160" w:before="320"/>
      </w:pPr>
      <w:r>
        <w:rPr>
          <w:rFonts w:ascii="Calibri" w:cs="Calibri" w:eastAsia="Calibri" w:hAnsi="Calibri"/>
          <w:b/>
          <w:bCs/>
          <w:color w:val="1F3864"/>
          <w:sz w:val="30"/>
          <w:szCs w:val="30"/>
        </w:rPr>
        <w:t xml:space="preserve">5. Customs Clearance &amp; HS Code Classification</w:t>
      </w:r>
    </w:p>
    <w:p>
      <w:pPr>
        <w:spacing w:after="60" w:before="60" w:line="290"/>
        <w:jc w:val="both"/>
      </w:pPr>
      <w:r>
        <w:rPr>
          <w:rFonts w:ascii="Calibri" w:cs="Calibri" w:eastAsia="Calibri" w:hAnsi="Calibri"/>
          <w:color w:val="222222"/>
          <w:sz w:val="22"/>
          <w:szCs w:val="22"/>
        </w:rPr>
        <w:t xml:space="preserve">All imports are processed through UAE Federal Customs Authority (FCA). Key steps:</w:t>
      </w:r>
    </w:p>
    <w:p>
      <w:pPr>
        <w:pStyle w:val="ListParagraph"/>
        <w:numPr>
          <w:ilvl w:val="0"/>
          <w:numId w:val="3"/>
        </w:numPr>
        <w:spacing w:after="40" w:before="40"/>
      </w:pPr>
      <w:r>
        <w:rPr>
          <w:rFonts w:ascii="Calibri" w:cs="Calibri" w:eastAsia="Calibri" w:hAnsi="Calibri"/>
          <w:color w:val="222222"/>
          <w:sz w:val="22"/>
          <w:szCs w:val="22"/>
        </w:rPr>
        <w:t xml:space="preserve">HS Code Classification: Supplier provides accurate 8-digit Harmonized System (HS) code on commercial invoice and packing list.</w:t>
      </w:r>
    </w:p>
    <w:p>
      <w:pPr>
        <w:pStyle w:val="ListParagraph"/>
        <w:numPr>
          <w:ilvl w:val="0"/>
          <w:numId w:val="3"/>
        </w:numPr>
        <w:spacing w:after="40" w:before="40"/>
      </w:pPr>
      <w:r>
        <w:rPr>
          <w:rFonts w:ascii="Calibri" w:cs="Calibri" w:eastAsia="Calibri" w:hAnsi="Calibri"/>
          <w:color w:val="222222"/>
          <w:sz w:val="22"/>
          <w:szCs w:val="22"/>
        </w:rPr>
        <w:t xml:space="preserve">Duty Calculation: Customs duty is calculated as: Dutiable Value × Duty Rate (varies by commodity, 0–100%).</w:t>
      </w:r>
    </w:p>
    <w:p>
      <w:pPr>
        <w:pStyle w:val="ListParagraph"/>
        <w:numPr>
          <w:ilvl w:val="0"/>
          <w:numId w:val="3"/>
        </w:numPr>
        <w:spacing w:after="40" w:before="40"/>
      </w:pPr>
      <w:r>
        <w:rPr>
          <w:rFonts w:ascii="Calibri" w:cs="Calibri" w:eastAsia="Calibri" w:hAnsi="Calibri"/>
          <w:color w:val="222222"/>
          <w:sz w:val="22"/>
          <w:szCs w:val="22"/>
        </w:rPr>
        <w:t xml:space="preserve">Clearance Documentation: Customs entry filed by licensed customs broker; commercial invoice, packing list, certificate of origin required.</w:t>
      </w:r>
    </w:p>
    <w:p>
      <w:pPr>
        <w:pStyle w:val="ListParagraph"/>
        <w:numPr>
          <w:ilvl w:val="0"/>
          <w:numId w:val="3"/>
        </w:numPr>
        <w:spacing w:after="40" w:before="40"/>
      </w:pPr>
      <w:r>
        <w:rPr>
          <w:rFonts w:ascii="Calibri" w:cs="Calibri" w:eastAsia="Calibri" w:hAnsi="Calibri"/>
          <w:color w:val="222222"/>
          <w:sz w:val="22"/>
          <w:szCs w:val="22"/>
        </w:rPr>
        <w:t xml:space="preserve">Inspection: FCA may inspect shipment; GSC or BU coordinates physical inspection if required.</w:t>
      </w:r>
    </w:p>
    <w:p>
      <w:pPr>
        <w:pStyle w:val="ListParagraph"/>
        <w:numPr>
          <w:ilvl w:val="0"/>
          <w:numId w:val="3"/>
        </w:numPr>
        <w:spacing w:after="40" w:before="40"/>
      </w:pPr>
      <w:r>
        <w:rPr>
          <w:rFonts w:ascii="Calibri" w:cs="Calibri" w:eastAsia="Calibri" w:hAnsi="Calibri"/>
          <w:color w:val="222222"/>
          <w:sz w:val="22"/>
          <w:szCs w:val="22"/>
        </w:rPr>
        <w:t xml:space="preserve">Duty Payment: Duty is paid by Group (FOB/FCA terms) or supplier (DDP terms); payment timing reflects Incoterm.</w:t>
      </w:r>
    </w:p>
    <w:p>
      <w:pPr>
        <w:pStyle w:val="Heading1"/>
        <w:pBdr>
          <w:bottom w:val="single" w:color="1F3864" w:sz="18" w:space="4"/>
        </w:pBdr>
        <w:spacing w:after="160" w:before="320"/>
      </w:pPr>
      <w:r>
        <w:rPr>
          <w:rFonts w:ascii="Calibri" w:cs="Calibri" w:eastAsia="Calibri" w:hAnsi="Calibri"/>
          <w:b/>
          <w:bCs/>
          <w:color w:val="1F3864"/>
          <w:sz w:val="30"/>
          <w:szCs w:val="30"/>
        </w:rPr>
        <w:t xml:space="preserve">6. Import Documentation</w:t>
      </w:r>
    </w:p>
    <w:p>
      <w:pPr>
        <w:spacing w:after="60" w:before="60" w:line="290"/>
        <w:jc w:val="both"/>
      </w:pPr>
      <w:r>
        <w:rPr>
          <w:rFonts w:ascii="Calibri" w:cs="Calibri" w:eastAsia="Calibri" w:hAnsi="Calibri"/>
          <w:color w:val="222222"/>
          <w:sz w:val="22"/>
          <w:szCs w:val="22"/>
        </w:rPr>
        <w:t xml:space="preserve">The following documentation is mandatory for customs clearance and must be provided by supplier: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800"/>
        <w:gridCol w:w="2600"/>
        <w:gridCol w:w="2160"/>
      </w:tblGrid>
      <w:tr>
        <w:trPr>
          <w:tblHeader/>
        </w:trPr>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Document</w:t>
            </w:r>
          </w:p>
        </w:tc>
        <w:tc>
          <w:tcPr>
            <w:tcW w:type="dxa" w:w="2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Purpose</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Responsibility</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Commercial Invoice</w:t>
            </w:r>
          </w:p>
        </w:tc>
        <w:tc>
          <w:tcPr>
            <w:tcW w:type="dxa" w:w="2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Proof of value and goods description; used for duty valuation</w:t>
            </w:r>
          </w:p>
        </w:tc>
        <w:tc>
          <w:tcPr>
            <w:tcW w:type="dxa" w:w="26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Supplier</w:t>
            </w:r>
          </w:p>
        </w:tc>
      </w:tr>
      <w:tr>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Packing List</w:t>
            </w:r>
          </w:p>
        </w:tc>
        <w:tc>
          <w:tcPr>
            <w:tcW w:type="dxa" w:w="2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Itemized list of goods, weights, dimensions, HS codes</w:t>
            </w:r>
          </w:p>
        </w:tc>
        <w:tc>
          <w:tcPr>
            <w:tcW w:type="dxa" w:w="26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Supplier</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Certificate of Origin (COO)</w:t>
            </w:r>
          </w:p>
        </w:tc>
        <w:tc>
          <w:tcPr>
            <w:tcW w:type="dxa" w:w="2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Proves country of manufacture; determines duty eligibility (e.g., GCC preference)</w:t>
            </w:r>
          </w:p>
        </w:tc>
        <w:tc>
          <w:tcPr>
            <w:tcW w:type="dxa" w:w="26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Supplier or Chamber of Commerce</w:t>
            </w:r>
          </w:p>
        </w:tc>
      </w:tr>
      <w:tr>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Bill of Lading (Ocean) / AWB (Air)</w:t>
            </w:r>
          </w:p>
        </w:tc>
        <w:tc>
          <w:tcPr>
            <w:tcW w:type="dxa" w:w="2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Proof of shipment; transport document required for claim</w:t>
            </w:r>
          </w:p>
        </w:tc>
        <w:tc>
          <w:tcPr>
            <w:tcW w:type="dxa" w:w="26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Freight forwarder</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Insurance Certificate</w:t>
            </w:r>
          </w:p>
        </w:tc>
        <w:tc>
          <w:tcPr>
            <w:tcW w:type="dxa" w:w="2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Required for CIF / CIP terms; proof of insurance in transit</w:t>
            </w:r>
          </w:p>
        </w:tc>
        <w:tc>
          <w:tcPr>
            <w:tcW w:type="dxa" w:w="26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Supplier or insurance broker</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7. Restricted &amp; Prohibited Items</w:t>
      </w:r>
    </w:p>
    <w:p>
      <w:pPr>
        <w:spacing w:after="60" w:before="60" w:line="290"/>
        <w:jc w:val="both"/>
      </w:pPr>
      <w:r>
        <w:rPr>
          <w:rFonts w:ascii="Calibri" w:cs="Calibri" w:eastAsia="Calibri" w:hAnsi="Calibri"/>
          <w:color w:val="222222"/>
          <w:sz w:val="22"/>
          <w:szCs w:val="22"/>
        </w:rPr>
        <w:t xml:space="preserve">Certain items are restricted or prohibited by UAE Federal Customs Authority. Procurement teams must verify:</w:t>
      </w:r>
    </w:p>
    <w:p>
      <w:pPr>
        <w:pStyle w:val="ListParagraph"/>
        <w:numPr>
          <w:ilvl w:val="0"/>
          <w:numId w:val="2"/>
        </w:numPr>
        <w:spacing w:after="40" w:before="40"/>
      </w:pPr>
      <w:r>
        <w:rPr>
          <w:rFonts w:ascii="Calibri" w:cs="Calibri" w:eastAsia="Calibri" w:hAnsi="Calibri"/>
          <w:color w:val="222222"/>
          <w:sz w:val="22"/>
          <w:szCs w:val="22"/>
        </w:rPr>
        <w:t xml:space="preserve">Prohibited goods: Narcotics, counterfeit items, weapons, certain chemicals (per UAE CITES and hazmat regulations).</w:t>
      </w:r>
    </w:p>
    <w:p>
      <w:pPr>
        <w:pStyle w:val="ListParagraph"/>
        <w:numPr>
          <w:ilvl w:val="0"/>
          <w:numId w:val="2"/>
        </w:numPr>
        <w:spacing w:after="40" w:before="40"/>
      </w:pPr>
      <w:r>
        <w:rPr>
          <w:rFonts w:ascii="Calibri" w:cs="Calibri" w:eastAsia="Calibri" w:hAnsi="Calibri"/>
          <w:color w:val="222222"/>
          <w:sz w:val="22"/>
          <w:szCs w:val="22"/>
        </w:rPr>
        <w:t xml:space="preserve">Restricted goods: Alcohol, certain electronics (sanction-related), used vehicles (age restrictions), food/animal products (health certifications required).</w:t>
      </w:r>
    </w:p>
    <w:p>
      <w:pPr>
        <w:pStyle w:val="ListParagraph"/>
        <w:numPr>
          <w:ilvl w:val="0"/>
          <w:numId w:val="2"/>
        </w:numPr>
        <w:spacing w:after="40" w:before="40"/>
      </w:pPr>
      <w:r>
        <w:rPr>
          <w:rFonts w:ascii="Calibri" w:cs="Calibri" w:eastAsia="Calibri" w:hAnsi="Calibri"/>
          <w:color w:val="222222"/>
          <w:sz w:val="22"/>
          <w:szCs w:val="22"/>
        </w:rPr>
        <w:t xml:space="preserve">Hazardous materials: Subject to special permits, IATA/IMDG documentation (per UAE Civil Aviation Authority and Maritime Authority).</w:t>
      </w:r>
    </w:p>
    <w:p>
      <w:pPr>
        <w:spacing w:after="60" w:before="60" w:line="290"/>
        <w:jc w:val="both"/>
      </w:pPr>
      <w:r>
        <w:rPr>
          <w:rFonts w:ascii="Calibri" w:cs="Calibri" w:eastAsia="Calibri" w:hAnsi="Calibri"/>
          <w:color w:val="222222"/>
          <w:sz w:val="22"/>
          <w:szCs w:val="22"/>
        </w:rPr>
        <w:t xml:space="preserve">Procurement teams must declare restricted items before import; failure to do so results in seizure and legal consequences. GSC maintains a Prohibited Goods List updated quarterly.</w:t>
      </w:r>
    </w:p>
    <w:p>
      <w:pPr>
        <w:pStyle w:val="Heading1"/>
        <w:pBdr>
          <w:bottom w:val="single" w:color="1F3864" w:sz="18" w:space="4"/>
        </w:pBdr>
        <w:spacing w:after="160" w:before="320"/>
      </w:pPr>
      <w:r>
        <w:rPr>
          <w:rFonts w:ascii="Calibri" w:cs="Calibri" w:eastAsia="Calibri" w:hAnsi="Calibri"/>
          <w:b/>
          <w:bCs/>
          <w:color w:val="1F3864"/>
          <w:sz w:val="30"/>
          <w:szCs w:val="30"/>
        </w:rPr>
        <w:t xml:space="preserve">8. Free Zone vs. Mainland Import Procedures</w:t>
      </w:r>
    </w:p>
    <w:p>
      <w:pPr>
        <w:spacing w:after="60" w:before="60" w:line="290"/>
        <w:jc w:val="both"/>
      </w:pPr>
      <w:r>
        <w:rPr>
          <w:rFonts w:ascii="Calibri" w:cs="Calibri" w:eastAsia="Calibri" w:hAnsi="Calibri"/>
          <w:color w:val="222222"/>
          <w:sz w:val="22"/>
          <w:szCs w:val="22"/>
        </w:rPr>
        <w:t xml:space="preserve">Bukhatir Group operates from multiple locations (mainland, JAFZA, DAFZA free zones). Different procedures apply: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400"/>
        <w:gridCol w:w="2500"/>
        <w:gridCol w:w="2660"/>
      </w:tblGrid>
      <w:tr>
        <w:trPr>
          <w:tblHeader/>
        </w:trPr>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Location Type</w:t>
            </w:r>
          </w:p>
        </w:tc>
        <w:tc>
          <w:tcPr>
            <w:tcW w:type="dxa" w:w="24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Customs Clearance</w:t>
            </w:r>
          </w:p>
        </w:tc>
        <w:tc>
          <w:tcPr>
            <w:tcW w:type="dxa" w:w="25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Duty Assessment</w:t>
            </w:r>
          </w:p>
        </w:tc>
        <w:tc>
          <w:tcPr>
            <w:tcW w:type="dxa" w:w="26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Re-Export Capability</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Mainland (Dubai, Abu Dhabi)</w:t>
            </w:r>
          </w:p>
        </w:tc>
        <w:tc>
          <w:tcPr>
            <w:tcW w:type="dxa" w:w="2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Subject to FCA inspection</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Full customs duty applies</w:t>
            </w:r>
          </w:p>
        </w:tc>
        <w:tc>
          <w:tcPr>
            <w:tcW w:type="dxa" w:w="26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Requires export permit</w:t>
            </w:r>
          </w:p>
        </w:tc>
      </w:tr>
      <w:tr>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Free Zone (JAFZA, DAFZA)</w:t>
            </w:r>
          </w:p>
        </w:tc>
        <w:tc>
          <w:tcPr>
            <w:tcW w:type="dxa" w:w="24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Simplified entry; no FCA inspection unless flagged</w:t>
            </w:r>
          </w:p>
        </w:tc>
        <w:tc>
          <w:tcPr>
            <w:tcW w:type="dxa" w:w="25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Duty-free (if for zone operation)</w:t>
            </w:r>
          </w:p>
        </w:tc>
        <w:tc>
          <w:tcPr>
            <w:tcW w:type="dxa" w:w="26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Unrestricted; no export permits</w:t>
            </w:r>
          </w:p>
        </w:tc>
      </w:tr>
    </w:tbl>
    <w:p>
      <w:pPr>
        <w:spacing w:after="60" w:before="60" w:line="290"/>
        <w:jc w:val="both"/>
      </w:pPr>
      <w:r>
        <w:rPr>
          <w:rFonts w:ascii="Calibri" w:cs="Calibri" w:eastAsia="Calibri" w:hAnsi="Calibri"/>
          <w:color w:val="222222"/>
          <w:sz w:val="22"/>
          <w:szCs w:val="22"/>
        </w:rPr>
        <w:t xml:space="preserve">Goods imported to free zones for Group use must be re-imported to mainland with duty payment. Cost-benefit analysis is required when selecting import location.</w:t>
      </w:r>
    </w:p>
    <w:p>
      <w:pPr>
        <w:pStyle w:val="Heading1"/>
        <w:pBdr>
          <w:bottom w:val="single" w:color="1F3864" w:sz="18" w:space="4"/>
        </w:pBdr>
        <w:spacing w:after="160" w:before="320"/>
      </w:pPr>
      <w:r>
        <w:rPr>
          <w:rFonts w:ascii="Calibri" w:cs="Calibri" w:eastAsia="Calibri" w:hAnsi="Calibri"/>
          <w:b/>
          <w:bCs/>
          <w:color w:val="1F3864"/>
          <w:sz w:val="30"/>
          <w:szCs w:val="30"/>
        </w:rPr>
        <w:t xml:space="preserve">9. Duty Exemption Certificates &amp; Incentive Programs</w:t>
      </w:r>
    </w:p>
    <w:p>
      <w:pPr>
        <w:spacing w:after="60" w:before="60" w:line="290"/>
        <w:jc w:val="both"/>
      </w:pPr>
      <w:r>
        <w:rPr>
          <w:rFonts w:ascii="Calibri" w:cs="Calibri" w:eastAsia="Calibri" w:hAnsi="Calibri"/>
          <w:color w:val="222222"/>
          <w:sz w:val="22"/>
          <w:szCs w:val="22"/>
        </w:rPr>
        <w:t xml:space="preserve">UAE government offers duty exemption and incentive programs in select sectors:</w:t>
      </w:r>
    </w:p>
    <w:p>
      <w:pPr>
        <w:pStyle w:val="ListParagraph"/>
        <w:numPr>
          <w:ilvl w:val="0"/>
          <w:numId w:val="2"/>
        </w:numPr>
        <w:spacing w:after="40" w:before="40"/>
      </w:pPr>
      <w:r>
        <w:rPr>
          <w:rFonts w:ascii="Calibri" w:cs="Calibri" w:eastAsia="Calibri" w:hAnsi="Calibri"/>
          <w:color w:val="222222"/>
          <w:sz w:val="22"/>
          <w:szCs w:val="22"/>
        </w:rPr>
        <w:t xml:space="preserve">National Preference Program (&gt;50% GCC content): 0% duty if commodity meets GCC origin threshold.</w:t>
      </w:r>
    </w:p>
    <w:p>
      <w:pPr>
        <w:pStyle w:val="ListParagraph"/>
        <w:numPr>
          <w:ilvl w:val="0"/>
          <w:numId w:val="2"/>
        </w:numPr>
        <w:spacing w:after="40" w:before="40"/>
      </w:pPr>
      <w:r>
        <w:rPr>
          <w:rFonts w:ascii="Calibri" w:cs="Calibri" w:eastAsia="Calibri" w:hAnsi="Calibri"/>
          <w:color w:val="222222"/>
          <w:sz w:val="22"/>
          <w:szCs w:val="22"/>
        </w:rPr>
        <w:t xml:space="preserve">Industrial Development Exemptions: Certain manufacturing equipment eligible for 0% duty (filed by procurement/finance).</w:t>
      </w:r>
    </w:p>
    <w:p>
      <w:pPr>
        <w:pStyle w:val="ListParagraph"/>
        <w:numPr>
          <w:ilvl w:val="0"/>
          <w:numId w:val="2"/>
        </w:numPr>
        <w:spacing w:after="40" w:before="40"/>
      </w:pPr>
      <w:r>
        <w:rPr>
          <w:rFonts w:ascii="Calibri" w:cs="Calibri" w:eastAsia="Calibri" w:hAnsi="Calibri"/>
          <w:color w:val="222222"/>
          <w:sz w:val="22"/>
          <w:szCs w:val="22"/>
        </w:rPr>
        <w:t xml:space="preserve">Government Tenders: Goods for certain government projects may be duty-exempt if agreement includes this benefit.</w:t>
      </w:r>
    </w:p>
    <w:p>
      <w:pPr>
        <w:spacing w:after="60" w:before="60" w:line="290"/>
        <w:jc w:val="both"/>
      </w:pPr>
      <w:r>
        <w:rPr>
          <w:rFonts w:ascii="Calibri" w:cs="Calibri" w:eastAsia="Calibri" w:hAnsi="Calibri"/>
          <w:color w:val="222222"/>
          <w:sz w:val="22"/>
          <w:szCs w:val="22"/>
        </w:rPr>
        <w:t xml:space="preserve">BU Procurement and Finance jointly determine eligibility; approved exemption certificates are obtained and filed with customs entry.</w:t>
      </w:r>
    </w:p>
    <w:p>
      <w:pPr>
        <w:pStyle w:val="Heading1"/>
        <w:pBdr>
          <w:bottom w:val="single" w:color="1F3864" w:sz="18" w:space="4"/>
        </w:pBdr>
        <w:spacing w:after="160" w:before="320"/>
      </w:pPr>
      <w:r>
        <w:rPr>
          <w:rFonts w:ascii="Calibri" w:cs="Calibri" w:eastAsia="Calibri" w:hAnsi="Calibri"/>
          <w:b/>
          <w:bCs/>
          <w:color w:val="1F3864"/>
          <w:sz w:val="30"/>
          <w:szCs w:val="30"/>
        </w:rPr>
        <w:t xml:space="preserve">10. Logistics Provider Selection &amp; Management</w:t>
      </w:r>
    </w:p>
    <w:p>
      <w:pPr>
        <w:spacing w:after="60" w:before="60" w:line="290"/>
        <w:jc w:val="both"/>
      </w:pPr>
      <w:r>
        <w:rPr>
          <w:rFonts w:ascii="Calibri" w:cs="Calibri" w:eastAsia="Calibri" w:hAnsi="Calibri"/>
          <w:color w:val="222222"/>
          <w:sz w:val="22"/>
          <w:szCs w:val="22"/>
        </w:rPr>
        <w:t xml:space="preserve">Freight forwarders and logistics providers are selected and managed as follows:</w:t>
      </w:r>
    </w:p>
    <w:p>
      <w:pPr>
        <w:pStyle w:val="ListParagraph"/>
        <w:numPr>
          <w:ilvl w:val="0"/>
          <w:numId w:val="2"/>
        </w:numPr>
        <w:spacing w:after="40" w:before="40"/>
      </w:pPr>
      <w:r>
        <w:rPr>
          <w:rFonts w:ascii="Calibri" w:cs="Calibri" w:eastAsia="Calibri" w:hAnsi="Calibri"/>
          <w:color w:val="222222"/>
          <w:sz w:val="22"/>
          <w:szCs w:val="22"/>
        </w:rPr>
        <w:t xml:space="preserve">Approved Logistics Partners: GSC maintains a list of 3–5 preferred customs brokers and freight forwarders.</w:t>
      </w:r>
    </w:p>
    <w:p>
      <w:pPr>
        <w:pStyle w:val="ListParagraph"/>
        <w:numPr>
          <w:ilvl w:val="0"/>
          <w:numId w:val="2"/>
        </w:numPr>
        <w:spacing w:after="40" w:before="40"/>
      </w:pPr>
      <w:r>
        <w:rPr>
          <w:rFonts w:ascii="Calibri" w:cs="Calibri" w:eastAsia="Calibri" w:hAnsi="Calibri"/>
          <w:color w:val="222222"/>
          <w:sz w:val="22"/>
          <w:szCs w:val="22"/>
        </w:rPr>
        <w:t xml:space="preserve">Performance KPIs: Customs clearance time, damage rate, cost accuracy (invoiced vs. estimate).</w:t>
      </w:r>
    </w:p>
    <w:p>
      <w:pPr>
        <w:pStyle w:val="ListParagraph"/>
        <w:numPr>
          <w:ilvl w:val="0"/>
          <w:numId w:val="2"/>
        </w:numPr>
        <w:spacing w:after="40" w:before="40"/>
      </w:pPr>
      <w:r>
        <w:rPr>
          <w:rFonts w:ascii="Calibri" w:cs="Calibri" w:eastAsia="Calibri" w:hAnsi="Calibri"/>
          <w:color w:val="222222"/>
          <w:sz w:val="22"/>
          <w:szCs w:val="22"/>
        </w:rPr>
        <w:t xml:space="preserve">Annual Review: Logistics partners are evaluated annually; poor performers are replaced.</w:t>
      </w:r>
    </w:p>
    <w:p>
      <w:pPr>
        <w:pStyle w:val="Heading1"/>
        <w:pBdr>
          <w:bottom w:val="single" w:color="1F3864" w:sz="18" w:space="4"/>
        </w:pBdr>
        <w:spacing w:after="160" w:before="320"/>
      </w:pPr>
      <w:r>
        <w:rPr>
          <w:rFonts w:ascii="Calibri" w:cs="Calibri" w:eastAsia="Calibri" w:hAnsi="Calibri"/>
          <w:b/>
          <w:bCs/>
          <w:color w:val="1F3864"/>
          <w:sz w:val="30"/>
          <w:szCs w:val="30"/>
        </w:rPr>
        <w:t xml:space="preserve">11. Import Logistics KPIs</w:t>
      </w:r>
    </w:p>
    <w:p>
      <w:pPr>
        <w:spacing w:after="60" w:before="60" w:line="290"/>
        <w:jc w:val="both"/>
      </w:pPr>
      <w:r>
        <w:rPr>
          <w:rFonts w:ascii="Calibri" w:cs="Calibri" w:eastAsia="Calibri" w:hAnsi="Calibri"/>
          <w:color w:val="222222"/>
          <w:sz w:val="22"/>
          <w:szCs w:val="22"/>
        </w:rPr>
        <w:t xml:space="preserve">The following KPIs measure import efficiency, tracked monthly:</w:t>
      </w:r>
    </w:p>
    <w:tbl>
      <w:tblPr>
        <w:tblW w:type="dxa" w:w="8360"/>
        <w:tblBorders>
          <w:top w:val="single" w:color="auto" w:sz="4"/>
          <w:left w:val="single" w:color="auto" w:sz="4"/>
          <w:bottom w:val="single" w:color="auto" w:sz="4"/>
          <w:right w:val="single" w:color="auto" w:sz="4"/>
          <w:insideH w:val="single" w:color="auto" w:sz="4"/>
          <w:insideV w:val="single" w:color="auto" w:sz="4"/>
        </w:tblBorders>
      </w:tblPr>
      <w:tblGrid>
        <w:gridCol w:w="2200"/>
        <w:gridCol w:w="4400"/>
        <w:gridCol w:w="176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KPI</w:t>
            </w:r>
          </w:p>
        </w:tc>
        <w:tc>
          <w:tcPr>
            <w:tcW w:type="dxa" w:w="44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Definition</w:t>
            </w:r>
          </w:p>
        </w:tc>
        <w:tc>
          <w:tcPr>
            <w:tcW w:type="dxa" w:w="17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Target</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Customs Clearance Time</w:t>
            </w:r>
          </w:p>
        </w:tc>
        <w:tc>
          <w:tcPr>
            <w:tcW w:type="dxa" w:w="4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Days from shipment arrival to customs release</w:t>
            </w:r>
          </w:p>
        </w:tc>
        <w:tc>
          <w:tcPr>
            <w:tcW w:type="dxa" w:w="17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&lt; 3 days</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Freight Cost Variance</w:t>
            </w:r>
          </w:p>
        </w:tc>
        <w:tc>
          <w:tcPr>
            <w:tcW w:type="dxa" w:w="44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Actual vs. budgeted freight cost</w:t>
            </w:r>
          </w:p>
        </w:tc>
        <w:tc>
          <w:tcPr>
            <w:tcW w:type="dxa" w:w="17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5% variance</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Damage Rate</w:t>
            </w:r>
          </w:p>
        </w:tc>
        <w:tc>
          <w:tcPr>
            <w:tcW w:type="dxa" w:w="4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of shipments received with damage</w:t>
            </w:r>
          </w:p>
        </w:tc>
        <w:tc>
          <w:tcPr>
            <w:tcW w:type="dxa" w:w="17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&lt; 0.5%</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Documentation Accuracy</w:t>
            </w:r>
          </w:p>
        </w:tc>
        <w:tc>
          <w:tcPr>
            <w:tcW w:type="dxa" w:w="44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of shipments with zero customs queries</w:t>
            </w:r>
          </w:p>
        </w:tc>
        <w:tc>
          <w:tcPr>
            <w:tcW w:type="dxa" w:w="17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95%</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12. Reference Forms</w:t>
      </w:r>
    </w:p>
    <w:p>
      <w:pPr>
        <w:pStyle w:val="ListParagraph"/>
        <w:numPr>
          <w:ilvl w:val="0"/>
          <w:numId w:val="2"/>
        </w:numPr>
        <w:spacing w:after="40" w:before="40"/>
      </w:pPr>
      <w:r>
        <w:rPr>
          <w:rFonts w:ascii="Calibri" w:cs="Calibri" w:eastAsia="Calibri" w:hAnsi="Calibri"/>
          <w:color w:val="222222"/>
          <w:sz w:val="22"/>
          <w:szCs w:val="22"/>
        </w:rPr>
        <w:t xml:space="preserve">Form F-IMP-01 — Import Customs Entry Checklist</w:t>
      </w:r>
    </w:p>
    <w:p>
      <w:pPr>
        <w:pStyle w:val="ListParagraph"/>
        <w:numPr>
          <w:ilvl w:val="0"/>
          <w:numId w:val="2"/>
        </w:numPr>
        <w:spacing w:after="40" w:before="40"/>
      </w:pPr>
      <w:r>
        <w:rPr>
          <w:rFonts w:ascii="Calibri" w:cs="Calibri" w:eastAsia="Calibri" w:hAnsi="Calibri"/>
          <w:color w:val="222222"/>
          <w:sz w:val="22"/>
          <w:szCs w:val="22"/>
        </w:rPr>
        <w:t xml:space="preserve">Form F-IMP-02 — Hazardous Material Declaration</w:t>
      </w:r>
    </w:p>
    <w:p>
      <w:pPr>
        <w:pStyle w:val="ListParagraph"/>
        <w:numPr>
          <w:ilvl w:val="0"/>
          <w:numId w:val="2"/>
        </w:numPr>
        <w:spacing w:after="40" w:before="40"/>
      </w:pPr>
      <w:r>
        <w:rPr>
          <w:rFonts w:ascii="Calibri" w:cs="Calibri" w:eastAsia="Calibri" w:hAnsi="Calibri"/>
          <w:color w:val="222222"/>
          <w:sz w:val="22"/>
          <w:szCs w:val="22"/>
        </w:rPr>
        <w:t xml:space="preserve">Form F-IMP-03 — Duty Exemption Certificate Application</w:t>
      </w:r>
    </w:p>
    <w:p>
      <w:pPr>
        <w:pStyle w:val="Heading1"/>
        <w:pBdr>
          <w:bottom w:val="single" w:color="1F3864" w:sz="18" w:space="4"/>
        </w:pBdr>
        <w:spacing w:after="160" w:before="320"/>
      </w:pPr>
      <w:r>
        <w:rPr>
          <w:rFonts w:ascii="Calibri" w:cs="Calibri" w:eastAsia="Calibri" w:hAnsi="Calibri"/>
          <w:b/>
          <w:bCs/>
          <w:color w:val="1F3864"/>
          <w:sz w:val="30"/>
          <w:szCs w:val="30"/>
        </w:rPr>
        <w:t xml:space="preserve">13. Definitions &amp; Acronyms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Acronym / Term</w:t>
            </w:r>
          </w:p>
        </w:tc>
        <w:tc>
          <w:tcPr>
            <w:tcW w:type="dxa" w:w="71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Definition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AWB</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Airway Bill</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BL</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Bill of Lading</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CIF</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Cost, Insurance &amp; Freight</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CIP</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Carriage &amp; Insurance Paid</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DDP</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Delivered Duty Paid</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FCA</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Free Carrier</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FOB</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Free On Board</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GSC</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HS</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Harmonized System (tariff codes)</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IATA</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International Air Transport Association</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IMDG</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International Maritime Dangerous Goods</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UAE</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United Arab Emirates</w:t>
            </w:r>
          </w:p>
        </w:tc>
      </w:tr>
    </w:tbl>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F3864" w:sz="6" w:space="4"/>
      </w:pBdr>
      <w:tabs>
        <w:tab w:val="right" w:pos="9026"/>
      </w:tabs>
    </w:pPr>
    <w:r>
      <w:rPr>
        <w:rFonts w:ascii="Calibri" w:cs="Calibri" w:eastAsia="Calibri" w:hAnsi="Calibri"/>
        <w:color w:val="1F3864"/>
        <w:sz w:val="18"/>
        <w:szCs w:val="18"/>
      </w:rPr>
      <w:t xml:space="preserve">P-POL-025  |  Effective: 08 April 2026</w:t>
    </w:r>
    <w:r>
      <w:rPr>
        <w:rFonts w:ascii="Calibri" w:cs="Calibri" w:eastAsia="Calibri" w:hAnsi="Calibri"/>
        <w:color w:val="6B7280"/>
        <w:sz w:val="18"/>
        <w:szCs w:val="18"/>
      </w:rPr>
      <w:t xml:space="preserve">	Page </w:t>
    </w:r>
    <w:r>
      <w:rPr>
        <w:rFonts w:ascii="Calibri" w:cs="Calibri" w:eastAsia="Calibri" w:hAnsi="Calibri"/>
        <w:color w:val="6B7280"/>
        <w:sz w:val="18"/>
        <w:szCs w:val="18"/>
      </w:rPr>
      <w:fldChar w:fldCharType="begin"/>
      <w:instrText xml:space="preserve">PAGE</w:instrText>
      <w:fldChar w:fldCharType="separate"/>
      <w:fldChar w:fldCharType="end"/>
    </w:r>
    <w:r>
      <w:rPr>
        <w:rFonts w:ascii="Calibri" w:cs="Calibri" w:eastAsia="Calibri" w:hAnsi="Calibri"/>
        <w:color w:val="6B7280"/>
        <w:sz w:val="18"/>
        <w:szCs w:val="18"/>
      </w:rPr>
      <w:t xml:space="preserve"> of </w:t>
    </w:r>
    <w:r>
      <w:rPr>
        <w:rFonts w:ascii="Calibri" w:cs="Calibri" w:eastAsia="Calibri" w:hAnsi="Calibri"/>
        <w:color w:val="6B7280"/>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360"/>
      <w:tblBorders>
        <w:top w:val="none"/>
        <w:left w:val="none"/>
        <w:bottom w:val="single" w:color="1F3864" w:sz="6"/>
        <w:right w:val="none"/>
        <w:insideH w:val="none"/>
        <w:insideV w:val="none"/>
      </w:tblBorders>
    </w:tblPr>
    <w:tblGrid>
      <w:gridCol w:w="4200"/>
      <w:gridCol w:w="3000"/>
      <w:gridCol w:w="2160"/>
    </w:tblGrid>
    <w:tr>
      <w:tc>
        <w:tcPr>
          <w:tcW w:type="dxa" w:w="4200"/>
          <w:tcBorders>
            <w:top w:val="none"/>
            <w:left w:val="none"/>
            <w:bottom w:val="single" w:color="1F3864" w:sz="6"/>
            <w:right w:val="none"/>
          </w:tcBorders>
        </w:tcPr>
        <w:p>
          <w:r>
            <w:rPr>
              <w:rFonts w:ascii="Calibri" w:cs="Calibri" w:eastAsia="Calibri" w:hAnsi="Calibri"/>
              <w:b/>
              <w:bCs/>
              <w:color w:val="1F3864"/>
              <w:sz w:val="18"/>
              <w:szCs w:val="18"/>
            </w:rPr>
            <w:t xml:space="preserve">Bukhatir Group | Group Supply Chain</w:t>
          </w:r>
        </w:p>
      </w:tc>
      <w:tc>
        <w:tcPr>
          <w:tcW w:type="dxa" w:w="3000"/>
          <w:tcBorders>
            <w:top w:val="none"/>
            <w:left w:val="none"/>
            <w:bottom w:val="single" w:color="1F3864" w:sz="6"/>
            <w:right w:val="none"/>
          </w:tcBorders>
        </w:tcPr>
        <w:p>
          <w:pPr>
            <w:jc w:val="center"/>
          </w:pPr>
          <w:r>
            <w:rPr>
              <w:rFonts w:ascii="Calibri" w:cs="Calibri" w:eastAsia="Calibri" w:hAnsi="Calibri"/>
              <w:b/>
              <w:bCs/>
              <w:color w:val="2E75B6"/>
              <w:sz w:val="18"/>
              <w:szCs w:val="18"/>
            </w:rPr>
            <w:t xml:space="preserve">Import, Customs &amp; Logistics</w:t>
          </w:r>
        </w:p>
      </w:tc>
      <w:tc>
        <w:tcPr>
          <w:tcW w:type="dxa" w:w="2160"/>
          <w:tcBorders>
            <w:top w:val="none"/>
            <w:left w:val="none"/>
            <w:bottom w:val="single" w:color="1F3864" w:sz="6"/>
            <w:right w:val="none"/>
          </w:tcBorders>
        </w:tcPr>
        <w:p>
          <w:pPr>
            <w:jc w:val="right"/>
          </w:pPr>
          <w:r>
            <w:rPr>
              <w:rFonts w:ascii="Calibri" w:cs="Calibri" w:eastAsia="Calibri" w:hAnsi="Calibri"/>
              <w:color w:val="6B7280"/>
              <w:sz w:val="18"/>
              <w:szCs w:val="18"/>
            </w:rPr>
            <w:t xml:space="preserve">Ver 0.4 | 08 APR 2026</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70"/>
      </w:pPr>
    </w:lvl>
  </w:abstractNum>
  <w:abstractNum w:abstractNumId="3" w15:restartNumberingAfterBreak="0">
    <w:multiLevelType w:val="hybridMultilevel"/>
    <w:lvl w:ilvl="0" w15:tentative="1">
      <w:start w:val="1"/>
      <w:numFmt w:val="decimal"/>
      <w:lvlText w:val="%1."/>
      <w:lvlJc w:val="left"/>
      <w:pPr>
        <w:ind w:left="54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20"/>
      <w:outlineLvl w:val="0"/>
    </w:pPr>
    <w:rPr>
      <w:rFonts w:ascii="Calibri" w:cs="Calibri" w:eastAsia="Calibri" w:hAnsi="Calibri"/>
      <w:b/>
      <w:bCs/>
      <w:color w:val="1F3864"/>
      <w:sz w:val="32"/>
      <w:szCs w:val="32"/>
    </w:rPr>
  </w:style>
  <w:style w:type="paragraph" w:styleId="Heading2">
    <w:name w:val="Heading 2"/>
    <w:basedOn w:val="Normal"/>
    <w:next w:val="Normal"/>
    <w:qFormat/>
    <w:pPr>
      <w:spacing w:after="100" w:before="220"/>
      <w:outlineLvl w:val="1"/>
    </w:pPr>
    <w:rPr>
      <w:rFonts w:ascii="Calibri" w:cs="Calibri" w:eastAsia="Calibri" w:hAnsi="Calibri"/>
      <w:b/>
      <w:bCs/>
      <w:color w:val="2E75B6"/>
      <w:sz w:val="28"/>
      <w:szCs w:val="28"/>
    </w:rPr>
  </w:style>
  <w:style w:type="paragraph" w:styleId="Heading3">
    <w:name w:val="Heading 3"/>
    <w:basedOn w:val="Normal"/>
    <w:next w:val="Normal"/>
    <w:qFormat/>
    <w:pPr>
      <w:spacing w:after="80" w:before="160"/>
      <w:outlineLvl w:val="2"/>
    </w:pPr>
    <w:rPr>
      <w:rFonts w:ascii="Calibri" w:cs="Calibri" w:eastAsia="Calibri" w:hAnsi="Calibri"/>
      <w:b/>
      <w:bCs/>
      <w:color w:val="1F3864"/>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Import, Customs &amp; Logistics - P-POL-025</dc:title>
  <dc:creator>Bukhatir Group - Group Supply Chain</dc:creator>
  <cp:lastModifiedBy>Un-named</cp:lastModifiedBy>
  <cp:revision>1</cp:revision>
  <dcterms:created xsi:type="dcterms:W3CDTF">2026-04-13T04:45:55.843Z</dcterms:created>
  <dcterms:modified xsi:type="dcterms:W3CDTF">2026-04-13T04:45:55.843Z</dcterms:modified>
</cp:coreProperties>
</file>

<file path=docProps/custom.xml><?xml version="1.0" encoding="utf-8"?>
<Properties xmlns="http://schemas.openxmlformats.org/officeDocument/2006/custom-properties" xmlns:vt="http://schemas.openxmlformats.org/officeDocument/2006/docPropsVTypes"/>
</file>