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P-POL-024</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Insurance, Bonds &amp; Guarantees</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Insurance, Bonds &amp; Guarantees</w:t>
      </w:r>
    </w:p>
    <w:p>
      <w:pPr>
        <w:spacing w:after="400"/>
        <w:jc w:val="center"/>
      </w:pPr>
      <w:r>
        <w:rPr>
          <w:rFonts w:ascii="Calibri" w:cs="Calibri" w:eastAsia="Calibri" w:hAnsi="Calibri"/>
          <w:i/>
          <w:iCs/>
          <w:color w:val="6B7280"/>
          <w:sz w:val="24"/>
          <w:szCs w:val="24"/>
        </w:rPr>
        <w:t xml:space="preserve">Risk Transfer, Performance Bonds &amp; Coverage Thresholds</w:t>
      </w:r>
    </w:p>
    <w:p>
      <w:pPr>
        <w:spacing w:after="600" w:before="600"/>
      </w:pPr>
      <w:r>
        <w:t xml:space="preserve"/>
      </w:r>
    </w:p>
    <w:p>
      <w:pPr>
        <w:jc w:val="center"/>
      </w:pPr>
      <w:r>
        <w:rPr>
          <w:rFonts w:ascii="Calibri" w:cs="Calibri" w:eastAsia="Calibri" w:hAnsi="Calibri"/>
          <w:b/>
          <w:bCs/>
          <w:color w:val="1F3864"/>
          <w:sz w:val="28"/>
          <w:szCs w:val="28"/>
        </w:rPr>
        <w:t xml:space="preserve">Document No: P-POL-024</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Insurance, Bonds &amp; Guarantees</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Insurance, Bonds &amp; Guarantees</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 &amp; Objective</w:t>
      </w:r>
    </w:p>
    <w:p>
      <w:pPr>
        <w:spacing w:after="60" w:before="60" w:line="290"/>
        <w:jc w:val="both"/>
      </w:pPr>
      <w:r>
        <w:rPr>
          <w:rFonts w:ascii="Calibri" w:cs="Calibri" w:eastAsia="Calibri" w:hAnsi="Calibri"/>
          <w:color w:val="222222"/>
          <w:sz w:val="22"/>
          <w:szCs w:val="22"/>
        </w:rPr>
        <w:t xml:space="preserve">This policy requires appropriate risk transfer via insurance, bonds and guarantees for procurement contracts. It protects Bukhatir Group from financial loss, project delays and liability exposure.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procurement contracts, with particular emphasis on capital projects, works, construction and high-value service contracts.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When Insurance, Bonds &amp; Guarantees Are Required</w:t>
      </w:r>
    </w:p>
    <w:p>
      <w:pPr>
        <w:spacing w:after="60" w:before="60" w:line="290"/>
        <w:jc w:val="both"/>
      </w:pPr>
      <w:r>
        <w:rPr>
          <w:rFonts w:ascii="Calibri" w:cs="Calibri" w:eastAsia="Calibri" w:hAnsi="Calibri"/>
          <w:color w:val="222222"/>
          <w:sz w:val="22"/>
          <w:szCs w:val="22"/>
        </w:rPr>
        <w:t xml:space="preserve">Risk mitigation instruments are mandatory when: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3500"/>
        <w:gridCol w:w="36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Trigger</w:t>
            </w:r>
          </w:p>
        </w:tc>
        <w:tc>
          <w:tcPr>
            <w:tcW w:type="dxa" w:w="3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Instruments Required</w:t>
            </w:r>
          </w:p>
        </w:tc>
        <w:tc>
          <w:tcPr>
            <w:tcW w:type="dxa" w:w="36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contracts &gt; AED 500K</w:t>
            </w:r>
          </w:p>
        </w:tc>
        <w:tc>
          <w:tcPr>
            <w:tcW w:type="dxa" w:w="3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Performance Bond, Professional Indemnity Insurance</w:t>
            </w:r>
          </w:p>
        </w:tc>
        <w:tc>
          <w:tcPr>
            <w:tcW w:type="dxa" w:w="36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approves policy terms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All works/construction contracts</w:t>
            </w:r>
          </w:p>
        </w:tc>
        <w:tc>
          <w:tcPr>
            <w:tcW w:type="dxa" w:w="3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Performance Bond (10% contract value), CAR/EAR, Public Liability</w:t>
            </w:r>
          </w:p>
        </w:tc>
        <w:tc>
          <w:tcPr>
            <w:tcW w:type="dxa" w:w="36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Mandatory per contract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Advance Payments &gt; AED 500K</w:t>
            </w:r>
          </w:p>
        </w:tc>
        <w:tc>
          <w:tcPr>
            <w:tcW w:type="dxa" w:w="3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Advance Payment Guarantee (100% of advance)</w:t>
            </w:r>
          </w:p>
        </w:tc>
        <w:tc>
          <w:tcPr>
            <w:tcW w:type="dxa" w:w="36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must verify before payment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Subcontracting &gt; AED 250K</w:t>
            </w:r>
          </w:p>
        </w:tc>
        <w:tc>
          <w:tcPr>
            <w:tcW w:type="dxa" w:w="3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Subcontractor Insurance, Workmen's Compensation</w:t>
            </w:r>
          </w:p>
        </w:tc>
        <w:tc>
          <w:tcPr>
            <w:tcW w:type="dxa" w:w="36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Main contractor responsible</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Types of Insurance, Bonds &amp; Guarantees</w:t>
      </w:r>
    </w:p>
    <w:p>
      <w:pPr>
        <w:pStyle w:val="Heading3"/>
        <w:spacing w:after="80" w:before="160"/>
      </w:pPr>
      <w:r>
        <w:rPr>
          <w:rFonts w:ascii="Calibri" w:cs="Calibri" w:eastAsia="Calibri" w:hAnsi="Calibri"/>
          <w:b/>
          <w:bCs/>
          <w:color w:val="1F3864"/>
          <w:sz w:val="22"/>
          <w:szCs w:val="22"/>
        </w:rPr>
        <w:t xml:space="preserve">Performance Bond</w:t>
      </w:r>
    </w:p>
    <w:p>
      <w:pPr>
        <w:pStyle w:val="ListParagraph"/>
        <w:numPr>
          <w:ilvl w:val="0"/>
          <w:numId w:val="2"/>
        </w:numPr>
        <w:spacing w:after="40" w:before="40"/>
      </w:pPr>
      <w:r>
        <w:rPr>
          <w:rFonts w:ascii="Calibri" w:cs="Calibri" w:eastAsia="Calibri" w:hAnsi="Calibri"/>
          <w:color w:val="222222"/>
          <w:sz w:val="22"/>
          <w:szCs w:val="22"/>
        </w:rPr>
        <w:t xml:space="preserve">Purpose: Guarantees the supplier completes the contract and meets performance obligations.</w:t>
      </w:r>
    </w:p>
    <w:p>
      <w:pPr>
        <w:pStyle w:val="ListParagraph"/>
        <w:numPr>
          <w:ilvl w:val="0"/>
          <w:numId w:val="2"/>
        </w:numPr>
        <w:spacing w:after="40" w:before="40"/>
      </w:pPr>
      <w:r>
        <w:rPr>
          <w:rFonts w:ascii="Calibri" w:cs="Calibri" w:eastAsia="Calibri" w:hAnsi="Calibri"/>
          <w:color w:val="222222"/>
          <w:sz w:val="22"/>
          <w:szCs w:val="22"/>
        </w:rPr>
        <w:t xml:space="preserve">Amount: 10% of contract value (standard).</w:t>
      </w:r>
    </w:p>
    <w:p>
      <w:pPr>
        <w:pStyle w:val="ListParagraph"/>
        <w:numPr>
          <w:ilvl w:val="0"/>
          <w:numId w:val="2"/>
        </w:numPr>
        <w:spacing w:after="40" w:before="40"/>
      </w:pPr>
      <w:r>
        <w:rPr>
          <w:rFonts w:ascii="Calibri" w:cs="Calibri" w:eastAsia="Calibri" w:hAnsi="Calibri"/>
          <w:color w:val="222222"/>
          <w:sz w:val="22"/>
          <w:szCs w:val="22"/>
        </w:rPr>
        <w:t xml:space="preserve">Beneficiary: Bukhatir Group (named as obligee).</w:t>
      </w:r>
    </w:p>
    <w:p>
      <w:pPr>
        <w:pStyle w:val="ListParagraph"/>
        <w:numPr>
          <w:ilvl w:val="0"/>
          <w:numId w:val="2"/>
        </w:numPr>
        <w:spacing w:after="40" w:before="40"/>
      </w:pPr>
      <w:r>
        <w:rPr>
          <w:rFonts w:ascii="Calibri" w:cs="Calibri" w:eastAsia="Calibri" w:hAnsi="Calibri"/>
          <w:color w:val="222222"/>
          <w:sz w:val="22"/>
          <w:szCs w:val="22"/>
        </w:rPr>
        <w:t xml:space="preserve">Validity: Must extend 90 days beyond contract completion date.</w:t>
      </w:r>
    </w:p>
    <w:p>
      <w:pPr>
        <w:pStyle w:val="ListParagraph"/>
        <w:numPr>
          <w:ilvl w:val="0"/>
          <w:numId w:val="2"/>
        </w:numPr>
        <w:spacing w:after="40" w:before="40"/>
      </w:pPr>
      <w:r>
        <w:rPr>
          <w:rFonts w:ascii="Calibri" w:cs="Calibri" w:eastAsia="Calibri" w:hAnsi="Calibri"/>
          <w:color w:val="222222"/>
          <w:sz w:val="22"/>
          <w:szCs w:val="22"/>
        </w:rPr>
        <w:t xml:space="preserve">Issuer: Approved UAE bank or international surety recognized by Central Bank of UAE.</w:t>
      </w:r>
    </w:p>
    <w:p>
      <w:pPr>
        <w:pStyle w:val="Heading3"/>
        <w:spacing w:after="80" w:before="160"/>
      </w:pPr>
      <w:r>
        <w:rPr>
          <w:rFonts w:ascii="Calibri" w:cs="Calibri" w:eastAsia="Calibri" w:hAnsi="Calibri"/>
          <w:b/>
          <w:bCs/>
          <w:color w:val="1F3864"/>
          <w:sz w:val="22"/>
          <w:szCs w:val="22"/>
        </w:rPr>
        <w:t xml:space="preserve">Advance Payment Guarantee</w:t>
      </w:r>
    </w:p>
    <w:p>
      <w:pPr>
        <w:pStyle w:val="ListParagraph"/>
        <w:numPr>
          <w:ilvl w:val="0"/>
          <w:numId w:val="2"/>
        </w:numPr>
        <w:spacing w:after="40" w:before="40"/>
      </w:pPr>
      <w:r>
        <w:rPr>
          <w:rFonts w:ascii="Calibri" w:cs="Calibri" w:eastAsia="Calibri" w:hAnsi="Calibri"/>
          <w:color w:val="222222"/>
          <w:sz w:val="22"/>
          <w:szCs w:val="22"/>
        </w:rPr>
        <w:t xml:space="preserve">Purpose: Secures repayment of advance payments if supplier defaults.</w:t>
      </w:r>
    </w:p>
    <w:p>
      <w:pPr>
        <w:pStyle w:val="ListParagraph"/>
        <w:numPr>
          <w:ilvl w:val="0"/>
          <w:numId w:val="2"/>
        </w:numPr>
        <w:spacing w:after="40" w:before="40"/>
      </w:pPr>
      <w:r>
        <w:rPr>
          <w:rFonts w:ascii="Calibri" w:cs="Calibri" w:eastAsia="Calibri" w:hAnsi="Calibri"/>
          <w:color w:val="222222"/>
          <w:sz w:val="22"/>
          <w:szCs w:val="22"/>
        </w:rPr>
        <w:t xml:space="preserve">Amount: 100% of the advance payment value.</w:t>
      </w:r>
    </w:p>
    <w:p>
      <w:pPr>
        <w:pStyle w:val="ListParagraph"/>
        <w:numPr>
          <w:ilvl w:val="0"/>
          <w:numId w:val="2"/>
        </w:numPr>
        <w:spacing w:after="40" w:before="40"/>
      </w:pPr>
      <w:r>
        <w:rPr>
          <w:rFonts w:ascii="Calibri" w:cs="Calibri" w:eastAsia="Calibri" w:hAnsi="Calibri"/>
          <w:color w:val="222222"/>
          <w:sz w:val="22"/>
          <w:szCs w:val="22"/>
        </w:rPr>
        <w:t xml:space="preserve">Validity: Must remain valid until final invoice payment.</w:t>
      </w:r>
    </w:p>
    <w:p>
      <w:pPr>
        <w:pStyle w:val="Heading3"/>
        <w:spacing w:after="80" w:before="160"/>
      </w:pPr>
      <w:r>
        <w:rPr>
          <w:rFonts w:ascii="Calibri" w:cs="Calibri" w:eastAsia="Calibri" w:hAnsi="Calibri"/>
          <w:b/>
          <w:bCs/>
          <w:color w:val="1F3864"/>
          <w:sz w:val="22"/>
          <w:szCs w:val="22"/>
        </w:rPr>
        <w:t xml:space="preserve">Professional Indemnity Insurance</w:t>
      </w:r>
    </w:p>
    <w:p>
      <w:pPr>
        <w:pStyle w:val="ListParagraph"/>
        <w:numPr>
          <w:ilvl w:val="0"/>
          <w:numId w:val="2"/>
        </w:numPr>
        <w:spacing w:after="40" w:before="40"/>
      </w:pPr>
      <w:r>
        <w:rPr>
          <w:rFonts w:ascii="Calibri" w:cs="Calibri" w:eastAsia="Calibri" w:hAnsi="Calibri"/>
          <w:color w:val="222222"/>
          <w:sz w:val="22"/>
          <w:szCs w:val="22"/>
        </w:rPr>
        <w:t xml:space="preserve">Purpose: Covers professional negligence, errors or omissions for service contracts (engineering, consultancy, design).</w:t>
      </w:r>
    </w:p>
    <w:p>
      <w:pPr>
        <w:pStyle w:val="ListParagraph"/>
        <w:numPr>
          <w:ilvl w:val="0"/>
          <w:numId w:val="2"/>
        </w:numPr>
        <w:spacing w:after="40" w:before="40"/>
      </w:pPr>
      <w:r>
        <w:rPr>
          <w:rFonts w:ascii="Calibri" w:cs="Calibri" w:eastAsia="Calibri" w:hAnsi="Calibri"/>
          <w:color w:val="222222"/>
          <w:sz w:val="22"/>
          <w:szCs w:val="22"/>
        </w:rPr>
        <w:t xml:space="preserve">Minimum Coverage: AED 2 million or 5% of contract value, whichever is greater.</w:t>
      </w:r>
    </w:p>
    <w:p>
      <w:pPr>
        <w:pStyle w:val="ListParagraph"/>
        <w:numPr>
          <w:ilvl w:val="0"/>
          <w:numId w:val="2"/>
        </w:numPr>
        <w:spacing w:after="40" w:before="40"/>
      </w:pPr>
      <w:r>
        <w:rPr>
          <w:rFonts w:ascii="Calibri" w:cs="Calibri" w:eastAsia="Calibri" w:hAnsi="Calibri"/>
          <w:color w:val="222222"/>
          <w:sz w:val="22"/>
          <w:szCs w:val="22"/>
        </w:rPr>
        <w:t xml:space="preserve">Beneficiary: Bukhatir Group named as additional insured.</w:t>
      </w:r>
    </w:p>
    <w:p>
      <w:pPr>
        <w:pStyle w:val="Heading3"/>
        <w:spacing w:after="80" w:before="160"/>
      </w:pPr>
      <w:r>
        <w:rPr>
          <w:rFonts w:ascii="Calibri" w:cs="Calibri" w:eastAsia="Calibri" w:hAnsi="Calibri"/>
          <w:b/>
          <w:bCs/>
          <w:color w:val="1F3864"/>
          <w:sz w:val="22"/>
          <w:szCs w:val="22"/>
        </w:rPr>
        <w:t xml:space="preserve">Public Liability Insurance</w:t>
      </w:r>
    </w:p>
    <w:p>
      <w:pPr>
        <w:pStyle w:val="ListParagraph"/>
        <w:numPr>
          <w:ilvl w:val="0"/>
          <w:numId w:val="2"/>
        </w:numPr>
        <w:spacing w:after="40" w:before="40"/>
      </w:pPr>
      <w:r>
        <w:rPr>
          <w:rFonts w:ascii="Calibri" w:cs="Calibri" w:eastAsia="Calibri" w:hAnsi="Calibri"/>
          <w:color w:val="222222"/>
          <w:sz w:val="22"/>
          <w:szCs w:val="22"/>
        </w:rPr>
        <w:t xml:space="preserve">Purpose: Covers third-party bodily injury and property damage claims.</w:t>
      </w:r>
    </w:p>
    <w:p>
      <w:pPr>
        <w:pStyle w:val="ListParagraph"/>
        <w:numPr>
          <w:ilvl w:val="0"/>
          <w:numId w:val="2"/>
        </w:numPr>
        <w:spacing w:after="40" w:before="40"/>
      </w:pPr>
      <w:r>
        <w:rPr>
          <w:rFonts w:ascii="Calibri" w:cs="Calibri" w:eastAsia="Calibri" w:hAnsi="Calibri"/>
          <w:color w:val="222222"/>
          <w:sz w:val="22"/>
          <w:szCs w:val="22"/>
        </w:rPr>
        <w:t xml:space="preserve">Minimum Coverage: AED 5 million per occurrence (works/construction contracts).</w:t>
      </w:r>
    </w:p>
    <w:p>
      <w:pPr>
        <w:pStyle w:val="ListParagraph"/>
        <w:numPr>
          <w:ilvl w:val="0"/>
          <w:numId w:val="2"/>
        </w:numPr>
        <w:spacing w:after="40" w:before="40"/>
      </w:pPr>
      <w:r>
        <w:rPr>
          <w:rFonts w:ascii="Calibri" w:cs="Calibri" w:eastAsia="Calibri" w:hAnsi="Calibri"/>
          <w:color w:val="222222"/>
          <w:sz w:val="22"/>
          <w:szCs w:val="22"/>
        </w:rPr>
        <w:t xml:space="preserve">Beneficiary: Bukhatir Group named as additional insured.</w:t>
      </w:r>
    </w:p>
    <w:p>
      <w:pPr>
        <w:pStyle w:val="Heading3"/>
        <w:spacing w:after="80" w:before="160"/>
      </w:pPr>
      <w:r>
        <w:rPr>
          <w:rFonts w:ascii="Calibri" w:cs="Calibri" w:eastAsia="Calibri" w:hAnsi="Calibri"/>
          <w:b/>
          <w:bCs/>
          <w:color w:val="1F3864"/>
          <w:sz w:val="22"/>
          <w:szCs w:val="22"/>
        </w:rPr>
        <w:t xml:space="preserve">Workmen's Compensation Insurance</w:t>
      </w:r>
    </w:p>
    <w:p>
      <w:pPr>
        <w:pStyle w:val="ListParagraph"/>
        <w:numPr>
          <w:ilvl w:val="0"/>
          <w:numId w:val="2"/>
        </w:numPr>
        <w:spacing w:after="40" w:before="40"/>
      </w:pPr>
      <w:r>
        <w:rPr>
          <w:rFonts w:ascii="Calibri" w:cs="Calibri" w:eastAsia="Calibri" w:hAnsi="Calibri"/>
          <w:color w:val="222222"/>
          <w:sz w:val="22"/>
          <w:szCs w:val="22"/>
        </w:rPr>
        <w:t xml:space="preserve">Purpose: Statutory cover for worker injury/illness (UAE law requirement).</w:t>
      </w:r>
    </w:p>
    <w:p>
      <w:pPr>
        <w:pStyle w:val="ListParagraph"/>
        <w:numPr>
          <w:ilvl w:val="0"/>
          <w:numId w:val="2"/>
        </w:numPr>
        <w:spacing w:after="40" w:before="40"/>
      </w:pPr>
      <w:r>
        <w:rPr>
          <w:rFonts w:ascii="Calibri" w:cs="Calibri" w:eastAsia="Calibri" w:hAnsi="Calibri"/>
          <w:color w:val="222222"/>
          <w:sz w:val="22"/>
          <w:szCs w:val="22"/>
        </w:rPr>
        <w:t xml:space="preserve">Coverage: As mandated by UAE Ministry of Human Resources &amp; Emiratization.</w:t>
      </w:r>
    </w:p>
    <w:p>
      <w:pPr>
        <w:pStyle w:val="ListParagraph"/>
        <w:numPr>
          <w:ilvl w:val="0"/>
          <w:numId w:val="2"/>
        </w:numPr>
        <w:spacing w:after="40" w:before="40"/>
      </w:pPr>
      <w:r>
        <w:rPr>
          <w:rFonts w:ascii="Calibri" w:cs="Calibri" w:eastAsia="Calibri" w:hAnsi="Calibri"/>
          <w:color w:val="222222"/>
          <w:sz w:val="22"/>
          <w:szCs w:val="22"/>
        </w:rPr>
        <w:t xml:space="preserve">Responsibility: Contractor bears full responsibility for workforce coverage.</w:t>
      </w:r>
    </w:p>
    <w:p>
      <w:pPr>
        <w:pStyle w:val="Heading3"/>
        <w:spacing w:after="80" w:before="160"/>
      </w:pPr>
      <w:r>
        <w:rPr>
          <w:rFonts w:ascii="Calibri" w:cs="Calibri" w:eastAsia="Calibri" w:hAnsi="Calibri"/>
          <w:b/>
          <w:bCs/>
          <w:color w:val="1F3864"/>
          <w:sz w:val="22"/>
          <w:szCs w:val="22"/>
        </w:rPr>
        <w:t xml:space="preserve">CAR/EAR (Contractor/Erection All Risks)</w:t>
      </w:r>
    </w:p>
    <w:p>
      <w:pPr>
        <w:pStyle w:val="ListParagraph"/>
        <w:numPr>
          <w:ilvl w:val="0"/>
          <w:numId w:val="2"/>
        </w:numPr>
        <w:spacing w:after="40" w:before="40"/>
      </w:pPr>
      <w:r>
        <w:rPr>
          <w:rFonts w:ascii="Calibri" w:cs="Calibri" w:eastAsia="Calibri" w:hAnsi="Calibri"/>
          <w:color w:val="222222"/>
          <w:sz w:val="22"/>
          <w:szCs w:val="22"/>
        </w:rPr>
        <w:t xml:space="preserve">Purpose: Covers physical loss or damage to works and plant during construction/installation.</w:t>
      </w:r>
    </w:p>
    <w:p>
      <w:pPr>
        <w:pStyle w:val="ListParagraph"/>
        <w:numPr>
          <w:ilvl w:val="0"/>
          <w:numId w:val="2"/>
        </w:numPr>
        <w:spacing w:after="40" w:before="40"/>
      </w:pPr>
      <w:r>
        <w:rPr>
          <w:rFonts w:ascii="Calibri" w:cs="Calibri" w:eastAsia="Calibri" w:hAnsi="Calibri"/>
          <w:color w:val="222222"/>
          <w:sz w:val="22"/>
          <w:szCs w:val="22"/>
        </w:rPr>
        <w:t xml:space="preserve">Scope: Equipment, materials, work-in-progress.</w:t>
      </w:r>
    </w:p>
    <w:p>
      <w:pPr>
        <w:pStyle w:val="ListParagraph"/>
        <w:numPr>
          <w:ilvl w:val="0"/>
          <w:numId w:val="2"/>
        </w:numPr>
        <w:spacing w:after="40" w:before="40"/>
      </w:pPr>
      <w:r>
        <w:rPr>
          <w:rFonts w:ascii="Calibri" w:cs="Calibri" w:eastAsia="Calibri" w:hAnsi="Calibri"/>
          <w:color w:val="222222"/>
          <w:sz w:val="22"/>
          <w:szCs w:val="22"/>
        </w:rPr>
        <w:t xml:space="preserve">Beneficiary: Bukhatir Group as loss payee.</w:t>
      </w:r>
    </w:p>
    <w:p>
      <w:pPr>
        <w:pStyle w:val="ListParagraph"/>
        <w:numPr>
          <w:ilvl w:val="0"/>
          <w:numId w:val="2"/>
        </w:numPr>
        <w:spacing w:after="40" w:before="40"/>
      </w:pPr>
      <w:r>
        <w:rPr>
          <w:rFonts w:ascii="Calibri" w:cs="Calibri" w:eastAsia="Calibri" w:hAnsi="Calibri"/>
          <w:color w:val="222222"/>
          <w:sz w:val="22"/>
          <w:szCs w:val="22"/>
        </w:rPr>
        <w:t xml:space="preserve">Deductible: ≤ AED 50K per claim.</w:t>
      </w:r>
    </w:p>
    <w:p>
      <w:pPr>
        <w:pStyle w:val="Heading1"/>
        <w:pBdr>
          <w:bottom w:val="single" w:color="1F3864" w:sz="18" w:space="4"/>
        </w:pBdr>
        <w:spacing w:after="160" w:before="320"/>
      </w:pPr>
      <w:r>
        <w:rPr>
          <w:rFonts w:ascii="Calibri" w:cs="Calibri" w:eastAsia="Calibri" w:hAnsi="Calibri"/>
          <w:b/>
          <w:bCs/>
          <w:color w:val="1F3864"/>
          <w:sz w:val="30"/>
          <w:szCs w:val="30"/>
        </w:rPr>
        <w:t xml:space="preserve">5. Minimum Insurance Thresholds by Contract Type</w:t>
      </w:r>
    </w:p>
    <w:tbl>
      <w:tblPr>
        <w:tblW w:type="dxa" w:w="9160"/>
        <w:tblBorders>
          <w:top w:val="single" w:color="auto" w:sz="4"/>
          <w:left w:val="single" w:color="auto" w:sz="4"/>
          <w:bottom w:val="single" w:color="auto" w:sz="4"/>
          <w:right w:val="single" w:color="auto" w:sz="4"/>
          <w:insideH w:val="single" w:color="auto" w:sz="4"/>
          <w:insideV w:val="single" w:color="auto" w:sz="4"/>
        </w:tblBorders>
      </w:tblPr>
      <w:tblGrid>
        <w:gridCol w:w="1800"/>
        <w:gridCol w:w="1800"/>
        <w:gridCol w:w="1800"/>
        <w:gridCol w:w="1800"/>
        <w:gridCol w:w="19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Contract Type</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Performance Bond</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Public Liability</w:t>
            </w:r>
          </w:p>
        </w:tc>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Professional Indemnity</w:t>
            </w:r>
          </w:p>
        </w:tc>
        <w:tc>
          <w:tcPr>
            <w:tcW w:type="dxa" w:w="19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CAR/EAR</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Services (low-risk, &lt; AED 500K)</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Services (high-risk, &gt; AED 500K)</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 contract value</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Recommended (AED 2M)</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2M minimum</w:t>
            </w:r>
          </w:p>
        </w:tc>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N/A</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Goods Supply (any value)</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 (unless custom-built)</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N/A</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Works / Construction (any value)</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 contract value</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5M (mandatory)</w:t>
            </w:r>
          </w:p>
        </w:tc>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Not required</w:t>
            </w:r>
          </w:p>
        </w:tc>
        <w:tc>
          <w:tcPr>
            <w:tcW w:type="dxa" w:w="19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Mandatory</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Design / Engineering</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10% contract value (if implementation)</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2M</w:t>
            </w:r>
          </w:p>
        </w:tc>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 2M (minimum)</w:t>
            </w:r>
          </w:p>
        </w:tc>
        <w:tc>
          <w:tcPr>
            <w:tcW w:type="dxa" w:w="19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N/A (if design-only)</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6. Bond/Guarantee Validity &amp; Extension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90-DAY POST-COMPLETION REQUIREMENT</w:t>
            </w:r>
          </w:p>
          <w:p>
            <w:pPr>
              <w:spacing w:before="80"/>
            </w:pPr>
            <w:r>
              <w:rPr>
                <w:rFonts w:ascii="Calibri" w:cs="Calibri" w:eastAsia="Calibri" w:hAnsi="Calibri"/>
                <w:color w:val="333333"/>
                <w:sz w:val="20"/>
                <w:szCs w:val="20"/>
              </w:rPr>
              <w:t xml:space="preserve">All bonds and guarantees must remain valid for a minimum of 90 days beyond the contract completion date. This covers the defects/warranty period and allows claims for late discovery of non-conformances. Suppliers are obligated to extend bonds automatically or provide renewal certificates 30 days before expiry.</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Verification &amp; Original Documentation</w:t>
      </w:r>
    </w:p>
    <w:p>
      <w:pPr>
        <w:spacing w:after="60" w:before="60" w:line="290"/>
        <w:jc w:val="both"/>
      </w:pPr>
      <w:r>
        <w:rPr>
          <w:rFonts w:ascii="Calibri" w:cs="Calibri" w:eastAsia="Calibri" w:hAnsi="Calibri"/>
          <w:color w:val="222222"/>
          <w:sz w:val="22"/>
          <w:szCs w:val="22"/>
        </w:rPr>
        <w:t xml:space="preserve">Finance must verify and retain original bond/guarantee documentation:</w:t>
      </w:r>
    </w:p>
    <w:p>
      <w:pPr>
        <w:pStyle w:val="ListParagraph"/>
        <w:numPr>
          <w:ilvl w:val="0"/>
          <w:numId w:val="3"/>
        </w:numPr>
        <w:spacing w:after="40" w:before="40"/>
      </w:pPr>
      <w:r>
        <w:rPr>
          <w:rFonts w:ascii="Calibri" w:cs="Calibri" w:eastAsia="Calibri" w:hAnsi="Calibri"/>
          <w:color w:val="222222"/>
          <w:sz w:val="22"/>
          <w:szCs w:val="22"/>
        </w:rPr>
        <w:t xml:space="preserve">Original bond document issued by UAE bank or recognized surety (not photocopies).</w:t>
      </w:r>
    </w:p>
    <w:p>
      <w:pPr>
        <w:pStyle w:val="ListParagraph"/>
        <w:numPr>
          <w:ilvl w:val="0"/>
          <w:numId w:val="3"/>
        </w:numPr>
        <w:spacing w:after="40" w:before="40"/>
      </w:pPr>
      <w:r>
        <w:rPr>
          <w:rFonts w:ascii="Calibri" w:cs="Calibri" w:eastAsia="Calibri" w:hAnsi="Calibri"/>
          <w:color w:val="222222"/>
          <w:sz w:val="22"/>
          <w:szCs w:val="22"/>
        </w:rPr>
        <w:t xml:space="preserve">Bond confirms Bukhatir Group as the beneficiary/obligee.</w:t>
      </w:r>
    </w:p>
    <w:p>
      <w:pPr>
        <w:pStyle w:val="ListParagraph"/>
        <w:numPr>
          <w:ilvl w:val="0"/>
          <w:numId w:val="3"/>
        </w:numPr>
        <w:spacing w:after="40" w:before="40"/>
      </w:pPr>
      <w:r>
        <w:rPr>
          <w:rFonts w:ascii="Calibri" w:cs="Calibri" w:eastAsia="Calibri" w:hAnsi="Calibri"/>
          <w:color w:val="222222"/>
          <w:sz w:val="22"/>
          <w:szCs w:val="22"/>
        </w:rPr>
        <w:t xml:space="preserve">Bond contains the performance condition (contract completion, quality standards).</w:t>
      </w:r>
    </w:p>
    <w:p>
      <w:pPr>
        <w:pStyle w:val="ListParagraph"/>
        <w:numPr>
          <w:ilvl w:val="0"/>
          <w:numId w:val="3"/>
        </w:numPr>
        <w:spacing w:after="40" w:before="40"/>
      </w:pPr>
      <w:r>
        <w:rPr>
          <w:rFonts w:ascii="Calibri" w:cs="Calibri" w:eastAsia="Calibri" w:hAnsi="Calibri"/>
          <w:color w:val="222222"/>
          <w:sz w:val="22"/>
          <w:szCs w:val="22"/>
        </w:rPr>
        <w:t xml:space="preserve">Validity dates are checked; expired bonds are not acceptable.</w:t>
      </w:r>
    </w:p>
    <w:p>
      <w:pPr>
        <w:pStyle w:val="ListParagraph"/>
        <w:numPr>
          <w:ilvl w:val="0"/>
          <w:numId w:val="3"/>
        </w:numPr>
        <w:spacing w:after="40" w:before="40"/>
      </w:pPr>
      <w:r>
        <w:rPr>
          <w:rFonts w:ascii="Calibri" w:cs="Calibri" w:eastAsia="Calibri" w:hAnsi="Calibri"/>
          <w:color w:val="222222"/>
          <w:sz w:val="22"/>
          <w:szCs w:val="22"/>
        </w:rPr>
        <w:t xml:space="preserve">Originals are filed in the contract master record in Oracle.</w:t>
      </w:r>
    </w:p>
    <w:p>
      <w:pPr>
        <w:spacing w:after="60" w:before="60" w:line="290"/>
        <w:jc w:val="both"/>
      </w:pPr>
      <w:r>
        <w:rPr>
          <w:rFonts w:ascii="Calibri" w:cs="Calibri" w:eastAsia="Calibri" w:hAnsi="Calibri"/>
          <w:color w:val="222222"/>
          <w:sz w:val="22"/>
          <w:szCs w:val="22"/>
        </w:rPr>
        <w:t xml:space="preserve">Digital scans are acceptable if the original is verified and certified by Finance.</w:t>
      </w:r>
    </w:p>
    <w:p>
      <w:pPr>
        <w:pStyle w:val="Heading1"/>
        <w:pBdr>
          <w:bottom w:val="single" w:color="1F3864" w:sz="18" w:space="4"/>
        </w:pBdr>
        <w:spacing w:after="160" w:before="320"/>
      </w:pPr>
      <w:r>
        <w:rPr>
          <w:rFonts w:ascii="Calibri" w:cs="Calibri" w:eastAsia="Calibri" w:hAnsi="Calibri"/>
          <w:b/>
          <w:bCs/>
          <w:color w:val="1F3864"/>
          <w:sz w:val="30"/>
          <w:szCs w:val="30"/>
        </w:rPr>
        <w:t xml:space="preserve">8. Bond Call Procedure</w:t>
      </w:r>
    </w:p>
    <w:p>
      <w:pPr>
        <w:spacing w:after="60" w:before="60" w:line="290"/>
        <w:jc w:val="both"/>
      </w:pPr>
      <w:r>
        <w:rPr>
          <w:rFonts w:ascii="Calibri" w:cs="Calibri" w:eastAsia="Calibri" w:hAnsi="Calibri"/>
          <w:color w:val="222222"/>
          <w:sz w:val="22"/>
          <w:szCs w:val="22"/>
        </w:rPr>
        <w:t xml:space="preserve">If the supplier defaults or fails to meet contract obligations, Bukhatir Group may call the bond:</w:t>
      </w:r>
    </w:p>
    <w:p>
      <w:pPr>
        <w:pStyle w:val="ListParagraph"/>
        <w:numPr>
          <w:ilvl w:val="0"/>
          <w:numId w:val="3"/>
        </w:numPr>
        <w:spacing w:after="40" w:before="40"/>
      </w:pPr>
      <w:r>
        <w:rPr>
          <w:rFonts w:ascii="Calibri" w:cs="Calibri" w:eastAsia="Calibri" w:hAnsi="Calibri"/>
          <w:color w:val="222222"/>
          <w:sz w:val="22"/>
          <w:szCs w:val="22"/>
        </w:rPr>
        <w:t xml:space="preserve">Default Detection: BU Procurement documents the specific default (delayed delivery, quality failure, non-performance).</w:t>
      </w:r>
    </w:p>
    <w:p>
      <w:pPr>
        <w:pStyle w:val="ListParagraph"/>
        <w:numPr>
          <w:ilvl w:val="0"/>
          <w:numId w:val="3"/>
        </w:numPr>
        <w:spacing w:after="40" w:before="40"/>
      </w:pPr>
      <w:r>
        <w:rPr>
          <w:rFonts w:ascii="Calibri" w:cs="Calibri" w:eastAsia="Calibri" w:hAnsi="Calibri"/>
          <w:color w:val="222222"/>
          <w:sz w:val="22"/>
          <w:szCs w:val="22"/>
        </w:rPr>
        <w:t xml:space="preserve">Notification to Supplier: Written notice sent to supplier and surety, specifying the default and triggering bond call.</w:t>
      </w:r>
    </w:p>
    <w:p>
      <w:pPr>
        <w:pStyle w:val="ListParagraph"/>
        <w:numPr>
          <w:ilvl w:val="0"/>
          <w:numId w:val="3"/>
        </w:numPr>
        <w:spacing w:after="40" w:before="40"/>
      </w:pPr>
      <w:r>
        <w:rPr>
          <w:rFonts w:ascii="Calibri" w:cs="Calibri" w:eastAsia="Calibri" w:hAnsi="Calibri"/>
          <w:color w:val="222222"/>
          <w:sz w:val="22"/>
          <w:szCs w:val="22"/>
        </w:rPr>
        <w:t xml:space="preserve">Bond Claim: Finance submits formal bond claim to the surety with supporting evidence.</w:t>
      </w:r>
    </w:p>
    <w:p>
      <w:pPr>
        <w:pStyle w:val="ListParagraph"/>
        <w:numPr>
          <w:ilvl w:val="0"/>
          <w:numId w:val="3"/>
        </w:numPr>
        <w:spacing w:after="40" w:before="40"/>
      </w:pPr>
      <w:r>
        <w:rPr>
          <w:rFonts w:ascii="Calibri" w:cs="Calibri" w:eastAsia="Calibri" w:hAnsi="Calibri"/>
          <w:color w:val="222222"/>
          <w:sz w:val="22"/>
          <w:szCs w:val="22"/>
        </w:rPr>
        <w:t xml:space="preserve">Claim Timeline: Surety has 30 days to respond and settle (per standard bond terms).</w:t>
      </w:r>
    </w:p>
    <w:p>
      <w:pPr>
        <w:pStyle w:val="ListParagraph"/>
        <w:numPr>
          <w:ilvl w:val="0"/>
          <w:numId w:val="3"/>
        </w:numPr>
        <w:spacing w:after="40" w:before="40"/>
      </w:pPr>
      <w:r>
        <w:rPr>
          <w:rFonts w:ascii="Calibri" w:cs="Calibri" w:eastAsia="Calibri" w:hAnsi="Calibri"/>
          <w:color w:val="222222"/>
          <w:sz w:val="22"/>
          <w:szCs w:val="22"/>
        </w:rPr>
        <w:t xml:space="preserve">Settlement: Bond amount is received by Group and applied to costs of remedial actions or supplier replacement.</w:t>
      </w:r>
    </w:p>
    <w:p>
      <w:pPr>
        <w:pStyle w:val="Heading1"/>
        <w:pBdr>
          <w:bottom w:val="single" w:color="1F3864" w:sz="18" w:space="4"/>
        </w:pBdr>
        <w:spacing w:after="160" w:before="320"/>
      </w:pPr>
      <w:r>
        <w:rPr>
          <w:rFonts w:ascii="Calibri" w:cs="Calibri" w:eastAsia="Calibri" w:hAnsi="Calibri"/>
          <w:b/>
          <w:bCs/>
          <w:color w:val="1F3864"/>
          <w:sz w:val="30"/>
          <w:szCs w:val="30"/>
        </w:rPr>
        <w:t xml:space="preserve">9. Central Register of Bonds &amp; Guarantees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GSC BOND REGISTER</w:t>
            </w:r>
          </w:p>
          <w:p>
            <w:pPr>
              <w:spacing w:before="80"/>
            </w:pPr>
            <w:r>
              <w:rPr>
                <w:rFonts w:ascii="Calibri" w:cs="Calibri" w:eastAsia="Calibri" w:hAnsi="Calibri"/>
                <w:color w:val="333333"/>
                <w:sz w:val="20"/>
                <w:szCs w:val="20"/>
              </w:rPr>
              <w:t xml:space="preserve">Group Supply Chain maintains a centralized register of all active bonds and guarantees, updated quarterly. The register includes: contract number, supplier name, bond amount, issue date, expiry date, issuing bank. Reports are generated monthly and shared with Finance and BU Heads.</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10. Renewal Tracking &amp; Alerts</w:t>
      </w:r>
    </w:p>
    <w:p>
      <w:pPr>
        <w:spacing w:after="60" w:before="60" w:line="290"/>
        <w:jc w:val="both"/>
      </w:pPr>
      <w:r>
        <w:rPr>
          <w:rFonts w:ascii="Calibri" w:cs="Calibri" w:eastAsia="Calibri" w:hAnsi="Calibri"/>
          <w:color w:val="222222"/>
          <w:sz w:val="22"/>
          <w:szCs w:val="22"/>
        </w:rPr>
        <w:t xml:space="preserve">Finance and GSC establish renewal tracking controls:</w:t>
      </w:r>
    </w:p>
    <w:p>
      <w:pPr>
        <w:pStyle w:val="ListParagraph"/>
        <w:numPr>
          <w:ilvl w:val="0"/>
          <w:numId w:val="2"/>
        </w:numPr>
        <w:spacing w:after="40" w:before="40"/>
      </w:pPr>
      <w:r>
        <w:rPr>
          <w:rFonts w:ascii="Calibri" w:cs="Calibri" w:eastAsia="Calibri" w:hAnsi="Calibri"/>
          <w:color w:val="222222"/>
          <w:sz w:val="22"/>
          <w:szCs w:val="22"/>
        </w:rPr>
        <w:t xml:space="preserve">60-day advance notice: Suppliers are notified 60 days before bond/guarantee expiry to provide renewals.</w:t>
      </w:r>
    </w:p>
    <w:p>
      <w:pPr>
        <w:pStyle w:val="ListParagraph"/>
        <w:numPr>
          <w:ilvl w:val="0"/>
          <w:numId w:val="2"/>
        </w:numPr>
        <w:spacing w:after="40" w:before="40"/>
      </w:pPr>
      <w:r>
        <w:rPr>
          <w:rFonts w:ascii="Calibri" w:cs="Calibri" w:eastAsia="Calibri" w:hAnsi="Calibri"/>
          <w:color w:val="222222"/>
          <w:sz w:val="22"/>
          <w:szCs w:val="22"/>
        </w:rPr>
        <w:t xml:space="preserve">Automated alerts: Oracle is configured to alert Finance of upcoming expirations.</w:t>
      </w:r>
    </w:p>
    <w:p>
      <w:pPr>
        <w:pStyle w:val="ListParagraph"/>
        <w:numPr>
          <w:ilvl w:val="0"/>
          <w:numId w:val="2"/>
        </w:numPr>
        <w:spacing w:after="40" w:before="40"/>
      </w:pPr>
      <w:r>
        <w:rPr>
          <w:rFonts w:ascii="Calibri" w:cs="Calibri" w:eastAsia="Calibri" w:hAnsi="Calibri"/>
          <w:color w:val="222222"/>
          <w:sz w:val="22"/>
          <w:szCs w:val="22"/>
        </w:rPr>
        <w:t xml:space="preserve">Monthly reconciliation: All active bonds are reconciled against the insurance/bond register; discrepancies investigated.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11. Reference Forms</w:t>
      </w:r>
    </w:p>
    <w:p>
      <w:pPr>
        <w:pStyle w:val="ListParagraph"/>
        <w:numPr>
          <w:ilvl w:val="0"/>
          <w:numId w:val="2"/>
        </w:numPr>
        <w:spacing w:after="40" w:before="40"/>
      </w:pPr>
      <w:r>
        <w:rPr>
          <w:rFonts w:ascii="Calibri" w:cs="Calibri" w:eastAsia="Calibri" w:hAnsi="Calibri"/>
          <w:color w:val="222222"/>
          <w:sz w:val="22"/>
          <w:szCs w:val="22"/>
        </w:rPr>
        <w:t xml:space="preserve">Form F-INS-01 — Insurance &amp; Bond Requirement Checklist</w:t>
      </w:r>
    </w:p>
    <w:p>
      <w:pPr>
        <w:pStyle w:val="ListParagraph"/>
        <w:numPr>
          <w:ilvl w:val="0"/>
          <w:numId w:val="2"/>
        </w:numPr>
        <w:spacing w:after="40" w:before="40"/>
      </w:pPr>
      <w:r>
        <w:rPr>
          <w:rFonts w:ascii="Calibri" w:cs="Calibri" w:eastAsia="Calibri" w:hAnsi="Calibri"/>
          <w:color w:val="222222"/>
          <w:sz w:val="22"/>
          <w:szCs w:val="22"/>
        </w:rPr>
        <w:t xml:space="preserve">Form F-INS-02 — Bond Call Request</w:t>
      </w:r>
    </w:p>
    <w:p>
      <w:pPr>
        <w:pStyle w:val="ListParagraph"/>
        <w:numPr>
          <w:ilvl w:val="0"/>
          <w:numId w:val="2"/>
        </w:numPr>
        <w:spacing w:after="40" w:before="40"/>
      </w:pPr>
      <w:r>
        <w:rPr>
          <w:rFonts w:ascii="Calibri" w:cs="Calibri" w:eastAsia="Calibri" w:hAnsi="Calibri"/>
          <w:color w:val="222222"/>
          <w:sz w:val="22"/>
          <w:szCs w:val="22"/>
        </w:rPr>
        <w:t xml:space="preserve">Form F-INS-03 — Insurance Certificate Submission</w:t>
      </w:r>
    </w:p>
    <w:p>
      <w:pPr>
        <w:pStyle w:val="Heading1"/>
        <w:pBdr>
          <w:bottom w:val="single" w:color="1F3864" w:sz="18" w:space="4"/>
        </w:pBdr>
        <w:spacing w:after="160" w:before="320"/>
      </w:pPr>
      <w:r>
        <w:rPr>
          <w:rFonts w:ascii="Calibri" w:cs="Calibri" w:eastAsia="Calibri" w:hAnsi="Calibri"/>
          <w:b/>
          <w:bCs/>
          <w:color w:val="1F3864"/>
          <w:sz w:val="30"/>
          <w:szCs w:val="30"/>
        </w:rPr>
        <w:t xml:space="preserve">12.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CAR</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Contractor All Risks</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EAR</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Erection All Risks</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PO</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Purchase Order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SLA</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 Level Agreement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UAE</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P-POL-024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Insurance, Bonds &amp; Guarantees</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Insurance, Bonds &amp; Guarantees - P-POL-024</dc:title>
  <dc:creator>Bukhatir Group - Group Supply Chain</dc:creator>
  <cp:lastModifiedBy>Un-named</cp:lastModifiedBy>
  <cp:revision>1</cp:revision>
  <dcterms:created xsi:type="dcterms:W3CDTF">2026-04-13T04:45:55.832Z</dcterms:created>
  <dcterms:modified xsi:type="dcterms:W3CDTF">2026-04-13T04:45:55.832Z</dcterms:modified>
</cp:coreProperties>
</file>

<file path=docProps/custom.xml><?xml version="1.0" encoding="utf-8"?>
<Properties xmlns="http://schemas.openxmlformats.org/officeDocument/2006/custom-properties" xmlns:vt="http://schemas.openxmlformats.org/officeDocument/2006/docPropsVTypes"/>
</file>