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P-POL-023</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Payment Terms &amp; Invoice Processing</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Payment Terms &amp; Invoice Processing</w:t>
      </w:r>
    </w:p>
    <w:p>
      <w:pPr>
        <w:spacing w:after="400"/>
        <w:jc w:val="center"/>
      </w:pPr>
      <w:r>
        <w:rPr>
          <w:rFonts w:ascii="Calibri" w:cs="Calibri" w:eastAsia="Calibri" w:hAnsi="Calibri"/>
          <w:i/>
          <w:iCs/>
          <w:color w:val="6B7280"/>
          <w:sz w:val="24"/>
          <w:szCs w:val="24"/>
        </w:rPr>
        <w:t xml:space="preserve">Standard Terms, Three-Way Match &amp; Invoice-to-Pay</w:t>
      </w:r>
    </w:p>
    <w:p>
      <w:pPr>
        <w:spacing w:after="600" w:before="600"/>
      </w:pPr>
      <w:r>
        <w:t xml:space="preserve"/>
      </w:r>
    </w:p>
    <w:p>
      <w:pPr>
        <w:jc w:val="center"/>
      </w:pPr>
      <w:r>
        <w:rPr>
          <w:rFonts w:ascii="Calibri" w:cs="Calibri" w:eastAsia="Calibri" w:hAnsi="Calibri"/>
          <w:b/>
          <w:bCs/>
          <w:color w:val="1F3864"/>
          <w:sz w:val="28"/>
          <w:szCs w:val="28"/>
        </w:rPr>
        <w:t xml:space="preserve">Document No: P-POL-023</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Payment Terms &amp; Invoice Processing</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Payment Terms &amp; Invoice Processing</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standardizes supplier payment terms and streamlines the invoice-to-pay cycle across Bukhatir Group, ensuring timely cash flow to suppliers while maintaining strong internal controls and maximizing working capital efficiency.</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supplier invoices, advance payments, retainage amounts and payment processing for goods, services, works and sub-contracts.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Standard Payment Terms</w:t>
      </w:r>
    </w:p>
    <w:p>
      <w:pPr>
        <w:spacing w:after="60" w:before="60" w:line="290"/>
        <w:jc w:val="both"/>
      </w:pPr>
      <w:r>
        <w:rPr>
          <w:rFonts w:ascii="Calibri" w:cs="Calibri" w:eastAsia="Calibri" w:hAnsi="Calibri"/>
          <w:color w:val="222222"/>
          <w:sz w:val="22"/>
          <w:szCs w:val="22"/>
        </w:rPr>
        <w:t xml:space="preserve">The following standard payment terms are approved Group-wide and shall be used in all RFQs, contracts and POs unless specific DOA approval is obtained: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2800"/>
        <w:gridCol w:w="2360"/>
      </w:tblGrid>
      <w:tr>
        <w:trPr>
          <w:tblHeader/>
        </w:trPr>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Commodity / Service Type</w:t>
            </w:r>
          </w:p>
        </w:tc>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Standard Terms</w:t>
            </w:r>
          </w:p>
        </w:tc>
        <w:tc>
          <w:tcPr>
            <w:tcW w:type="dxa" w:w="2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Rationale</w:t>
            </w:r>
          </w:p>
        </w:tc>
        <w:tc>
          <w:tcPr>
            <w:tcW w:type="dxa" w:w="2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Exception Approval</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Services (consultancy, labor, maintenance)</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Net 60</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Align with professional services market</w:t>
            </w:r>
          </w:p>
        </w:tc>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Head + Finance</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Materials &amp; Equipment</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Net 45</w:t>
            </w:r>
          </w:p>
        </w:tc>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Standard for goods suppliers</w:t>
            </w:r>
          </w:p>
        </w:tc>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Head</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Small &amp; Medium Enterprises (SMEs) &lt;AED 50M revenue</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Net 30</w:t>
            </w:r>
          </w:p>
        </w:tc>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Support local SMEs with faster payment</w:t>
            </w:r>
          </w:p>
        </w:tc>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Head + GSC</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Construction &amp; Works Contracts</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Net 30 + retention</w:t>
            </w:r>
          </w:p>
        </w:tc>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See retention schedule below</w:t>
            </w:r>
          </w:p>
        </w:tc>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 (mandatory)</w:t>
            </w:r>
          </w:p>
        </w:tc>
      </w:tr>
    </w:tbl>
    <w:p>
      <w:pPr>
        <w:spacing w:after="60" w:before="60" w:line="290"/>
        <w:jc w:val="both"/>
      </w:pPr>
      <w:r>
        <w:rPr>
          <w:rFonts w:ascii="Calibri" w:cs="Calibri" w:eastAsia="Calibri" w:hAnsi="Calibri"/>
          <w:color w:val="222222"/>
          <w:sz w:val="22"/>
          <w:szCs w:val="22"/>
        </w:rPr>
        <w:t xml:space="preserve">Deviations from standard terms (e.g., Net 90 for strategic suppliers) are permissible under DOA approval and documented in the contract.</w:t>
      </w:r>
    </w:p>
    <w:p>
      <w:pPr>
        <w:pStyle w:val="Heading1"/>
        <w:pBdr>
          <w:bottom w:val="single" w:color="1F3864" w:sz="18" w:space="4"/>
        </w:pBdr>
        <w:spacing w:after="160" w:before="320"/>
      </w:pPr>
      <w:r>
        <w:rPr>
          <w:rFonts w:ascii="Calibri" w:cs="Calibri" w:eastAsia="Calibri" w:hAnsi="Calibri"/>
          <w:b/>
          <w:bCs/>
          <w:color w:val="1F3864"/>
          <w:sz w:val="30"/>
          <w:szCs w:val="30"/>
        </w:rPr>
        <w:t xml:space="preserve">4. Early Payment Discount Policy</w:t>
      </w:r>
    </w:p>
    <w:p>
      <w:pPr>
        <w:spacing w:after="60" w:before="60" w:line="290"/>
        <w:jc w:val="both"/>
      </w:pPr>
      <w:r>
        <w:rPr>
          <w:rFonts w:ascii="Calibri" w:cs="Calibri" w:eastAsia="Calibri" w:hAnsi="Calibri"/>
          <w:color w:val="222222"/>
          <w:sz w:val="22"/>
          <w:szCs w:val="22"/>
        </w:rPr>
        <w:t xml:space="preserve">Suppliers may offer early payment discounts (e.g., '2/10 Net 45' means 2% discount if paid within 10 days). GSC evaluates discounts using Net Present Value (NPV) analysis:</w:t>
      </w:r>
    </w:p>
    <w:p>
      <w:pPr>
        <w:pStyle w:val="ListParagraph"/>
        <w:numPr>
          <w:ilvl w:val="0"/>
          <w:numId w:val="2"/>
        </w:numPr>
        <w:spacing w:after="40" w:before="40"/>
      </w:pPr>
      <w:r>
        <w:rPr>
          <w:rFonts w:ascii="Calibri" w:cs="Calibri" w:eastAsia="Calibri" w:hAnsi="Calibri"/>
          <w:color w:val="222222"/>
          <w:sz w:val="22"/>
          <w:szCs w:val="22"/>
        </w:rPr>
        <w:t xml:space="preserve">Discount is beneficial (accepted) if the annual percentage return exceeds 2% per annum.</w:t>
      </w:r>
    </w:p>
    <w:p>
      <w:pPr>
        <w:pStyle w:val="ListParagraph"/>
        <w:numPr>
          <w:ilvl w:val="0"/>
          <w:numId w:val="2"/>
        </w:numPr>
        <w:spacing w:after="40" w:before="40"/>
      </w:pPr>
      <w:r>
        <w:rPr>
          <w:rFonts w:ascii="Calibri" w:cs="Calibri" w:eastAsia="Calibri" w:hAnsi="Calibri"/>
          <w:color w:val="222222"/>
          <w:sz w:val="22"/>
          <w:szCs w:val="22"/>
        </w:rPr>
        <w:t xml:space="preserve">Formula: Discount % / (Full Days – Early Days) × (365 / Full Days) &gt; 2%</w:t>
      </w:r>
    </w:p>
    <w:p>
      <w:pPr>
        <w:pStyle w:val="ListParagraph"/>
        <w:numPr>
          <w:ilvl w:val="0"/>
          <w:numId w:val="2"/>
        </w:numPr>
        <w:spacing w:after="40" w:before="40"/>
      </w:pPr>
      <w:r>
        <w:rPr>
          <w:rFonts w:ascii="Calibri" w:cs="Calibri" w:eastAsia="Calibri" w:hAnsi="Calibri"/>
          <w:color w:val="222222"/>
          <w:sz w:val="22"/>
          <w:szCs w:val="22"/>
        </w:rPr>
        <w:t xml:space="preserve">Example: 2% discount for 10-day early payment on Net 45 terms = 2/(45–10) × (365/45) = 3.65% annual return (ACCEPT).</w:t>
      </w:r>
    </w:p>
    <w:p>
      <w:pPr>
        <w:pStyle w:val="ListParagraph"/>
        <w:numPr>
          <w:ilvl w:val="0"/>
          <w:numId w:val="2"/>
        </w:numPr>
        <w:spacing w:after="40" w:before="40"/>
      </w:pPr>
      <w:r>
        <w:rPr>
          <w:rFonts w:ascii="Calibri" w:cs="Calibri" w:eastAsia="Calibri" w:hAnsi="Calibri"/>
          <w:color w:val="222222"/>
          <w:sz w:val="22"/>
          <w:szCs w:val="22"/>
        </w:rPr>
        <w:t xml:space="preserve">Finance maintains a register of accepted early payment discounts and executes them via Oracle.</w:t>
      </w:r>
    </w:p>
    <w:p>
      <w:pPr>
        <w:pStyle w:val="Heading1"/>
        <w:pBdr>
          <w:bottom w:val="single" w:color="1F3864" w:sz="18" w:space="4"/>
        </w:pBdr>
        <w:spacing w:after="160" w:before="320"/>
      </w:pPr>
      <w:r>
        <w:rPr>
          <w:rFonts w:ascii="Calibri" w:cs="Calibri" w:eastAsia="Calibri" w:hAnsi="Calibri"/>
          <w:b/>
          <w:bCs/>
          <w:color w:val="1F3864"/>
          <w:sz w:val="30"/>
          <w:szCs w:val="30"/>
        </w:rPr>
        <w:t xml:space="preserve">5. Invoice Processing Workflow</w:t>
      </w:r>
    </w:p>
    <w:p>
      <w:pPr>
        <w:spacing w:after="60" w:before="60" w:line="290"/>
        <w:jc w:val="both"/>
      </w:pPr>
      <w:r>
        <w:rPr>
          <w:rFonts w:ascii="Calibri" w:cs="Calibri" w:eastAsia="Calibri" w:hAnsi="Calibri"/>
          <w:color w:val="222222"/>
          <w:sz w:val="22"/>
          <w:szCs w:val="22"/>
        </w:rPr>
        <w:t xml:space="preserve">All supplier invoices flow through a mandatory three-way match process:</w:t>
      </w:r>
    </w:p>
    <w:p>
      <w:pPr>
        <w:pStyle w:val="ListParagraph"/>
        <w:numPr>
          <w:ilvl w:val="0"/>
          <w:numId w:val="3"/>
        </w:numPr>
        <w:spacing w:after="40" w:before="40"/>
      </w:pPr>
      <w:r>
        <w:rPr>
          <w:rFonts w:ascii="Calibri" w:cs="Calibri" w:eastAsia="Calibri" w:hAnsi="Calibri"/>
          <w:color w:val="222222"/>
          <w:sz w:val="22"/>
          <w:szCs w:val="22"/>
        </w:rPr>
        <w:t xml:space="preserve">Supplier submits invoice (paper or e-invoice) to the BU or to the Group e-Invoicing portal.</w:t>
      </w:r>
    </w:p>
    <w:p>
      <w:pPr>
        <w:pStyle w:val="ListParagraph"/>
        <w:numPr>
          <w:ilvl w:val="0"/>
          <w:numId w:val="3"/>
        </w:numPr>
        <w:spacing w:after="40" w:before="40"/>
      </w:pPr>
      <w:r>
        <w:rPr>
          <w:rFonts w:ascii="Calibri" w:cs="Calibri" w:eastAsia="Calibri" w:hAnsi="Calibri"/>
          <w:color w:val="222222"/>
          <w:sz w:val="22"/>
          <w:szCs w:val="22"/>
        </w:rPr>
        <w:t xml:space="preserve">BU Procurement or Finance verifies the three-way match: (1) PO line item, (2) Goods Received Note (GRN), (3) Invoice quantity and price.</w:t>
      </w:r>
    </w:p>
    <w:p>
      <w:pPr>
        <w:pStyle w:val="ListParagraph"/>
        <w:numPr>
          <w:ilvl w:val="0"/>
          <w:numId w:val="3"/>
        </w:numPr>
        <w:spacing w:after="40" w:before="40"/>
      </w:pPr>
      <w:r>
        <w:rPr>
          <w:rFonts w:ascii="Calibri" w:cs="Calibri" w:eastAsia="Calibri" w:hAnsi="Calibri"/>
          <w:color w:val="222222"/>
          <w:sz w:val="22"/>
          <w:szCs w:val="22"/>
        </w:rPr>
        <w:t xml:space="preserve">Any discrepancy (quantity mismatch, price variance, missing GRN) is flagged for investigation and dispute resolution.</w:t>
      </w:r>
    </w:p>
    <w:p>
      <w:pPr>
        <w:pStyle w:val="ListParagraph"/>
        <w:numPr>
          <w:ilvl w:val="0"/>
          <w:numId w:val="3"/>
        </w:numPr>
        <w:spacing w:after="40" w:before="40"/>
      </w:pPr>
      <w:r>
        <w:rPr>
          <w:rFonts w:ascii="Calibri" w:cs="Calibri" w:eastAsia="Calibri" w:hAnsi="Calibri"/>
          <w:color w:val="222222"/>
          <w:sz w:val="22"/>
          <w:szCs w:val="22"/>
        </w:rPr>
        <w:t xml:space="preserve">Finance approves matched invoices and processes payment via Oracle AP module.</w:t>
      </w:r>
    </w:p>
    <w:p>
      <w:pPr>
        <w:pStyle w:val="ListParagraph"/>
        <w:numPr>
          <w:ilvl w:val="0"/>
          <w:numId w:val="3"/>
        </w:numPr>
        <w:spacing w:after="40" w:before="40"/>
      </w:pPr>
      <w:r>
        <w:rPr>
          <w:rFonts w:ascii="Calibri" w:cs="Calibri" w:eastAsia="Calibri" w:hAnsi="Calibri"/>
          <w:color w:val="222222"/>
          <w:sz w:val="22"/>
          <w:szCs w:val="22"/>
        </w:rPr>
        <w:t xml:space="preserve">Payment is released on the agreed payment term (e.g., Net 45 from invoice date).</w:t>
      </w:r>
    </w:p>
    <w:p>
      <w:pPr>
        <w:spacing w:after="60" w:before="60" w:line="290"/>
        <w:jc w:val="both"/>
      </w:pPr>
      <w:r>
        <w:rPr>
          <w:rFonts w:ascii="Calibri" w:cs="Calibri" w:eastAsia="Calibri" w:hAnsi="Calibri"/>
          <w:color w:val="222222"/>
          <w:sz w:val="22"/>
          <w:szCs w:val="22"/>
        </w:rPr>
        <w:t xml:space="preserve">Target invoice processing time: ≤7 calendar days from receipt to payment approval (KPI tracked monthly).</w:t>
      </w:r>
    </w:p>
    <w:p>
      <w:pPr>
        <w:pStyle w:val="Heading1"/>
        <w:pBdr>
          <w:bottom w:val="single" w:color="1F3864" w:sz="18" w:space="4"/>
        </w:pBdr>
        <w:spacing w:after="160" w:before="320"/>
      </w:pPr>
      <w:r>
        <w:rPr>
          <w:rFonts w:ascii="Calibri" w:cs="Calibri" w:eastAsia="Calibri" w:hAnsi="Calibri"/>
          <w:b/>
          <w:bCs/>
          <w:color w:val="1F3864"/>
          <w:sz w:val="30"/>
          <w:szCs w:val="30"/>
        </w:rPr>
        <w:t xml:space="preserve">6. Invoice Dispute Resolution</w:t>
      </w:r>
    </w:p>
    <w:p>
      <w:pPr>
        <w:spacing w:after="60" w:before="60" w:line="290"/>
        <w:jc w:val="both"/>
      </w:pPr>
      <w:r>
        <w:rPr>
          <w:rFonts w:ascii="Calibri" w:cs="Calibri" w:eastAsia="Calibri" w:hAnsi="Calibri"/>
          <w:color w:val="222222"/>
          <w:sz w:val="22"/>
          <w:szCs w:val="22"/>
        </w:rPr>
        <w:t xml:space="preserve">If an invoice fails the three-way match or is disputed, a formal resolution process is initiated:</w:t>
      </w:r>
    </w:p>
    <w:p>
      <w:pPr>
        <w:pStyle w:val="ListParagraph"/>
        <w:numPr>
          <w:ilvl w:val="0"/>
          <w:numId w:val="3"/>
        </w:numPr>
        <w:spacing w:after="40" w:before="40"/>
      </w:pPr>
      <w:r>
        <w:rPr>
          <w:rFonts w:ascii="Calibri" w:cs="Calibri" w:eastAsia="Calibri" w:hAnsi="Calibri"/>
          <w:color w:val="222222"/>
          <w:sz w:val="22"/>
          <w:szCs w:val="22"/>
        </w:rPr>
        <w:t xml:space="preserve">Discrepancy notification sent to supplier within 2 business days with specific details (quantity variance, price mismatch, missing documentation).</w:t>
      </w:r>
    </w:p>
    <w:p>
      <w:pPr>
        <w:pStyle w:val="ListParagraph"/>
        <w:numPr>
          <w:ilvl w:val="0"/>
          <w:numId w:val="3"/>
        </w:numPr>
        <w:spacing w:after="40" w:before="40"/>
      </w:pPr>
      <w:r>
        <w:rPr>
          <w:rFonts w:ascii="Calibri" w:cs="Calibri" w:eastAsia="Calibri" w:hAnsi="Calibri"/>
          <w:color w:val="222222"/>
          <w:sz w:val="22"/>
          <w:szCs w:val="22"/>
        </w:rPr>
        <w:t xml:space="preserve">Supplier has 5 business days to respond with supporting documentation or corrected invoice.</w:t>
      </w:r>
    </w:p>
    <w:p>
      <w:pPr>
        <w:pStyle w:val="ListParagraph"/>
        <w:numPr>
          <w:ilvl w:val="0"/>
          <w:numId w:val="3"/>
        </w:numPr>
        <w:spacing w:after="40" w:before="40"/>
      </w:pPr>
      <w:r>
        <w:rPr>
          <w:rFonts w:ascii="Calibri" w:cs="Calibri" w:eastAsia="Calibri" w:hAnsi="Calibri"/>
          <w:color w:val="222222"/>
          <w:sz w:val="22"/>
          <w:szCs w:val="22"/>
        </w:rPr>
        <w:t xml:space="preserve">If unresolved after 5 days, GSC and the supplier conduct a joint call; root cause identified and documented.</w:t>
      </w:r>
    </w:p>
    <w:p>
      <w:pPr>
        <w:pStyle w:val="ListParagraph"/>
        <w:numPr>
          <w:ilvl w:val="0"/>
          <w:numId w:val="3"/>
        </w:numPr>
        <w:spacing w:after="40" w:before="40"/>
      </w:pPr>
      <w:r>
        <w:rPr>
          <w:rFonts w:ascii="Calibri" w:cs="Calibri" w:eastAsia="Calibri" w:hAnsi="Calibri"/>
          <w:color w:val="222222"/>
          <w:sz w:val="22"/>
          <w:szCs w:val="22"/>
        </w:rPr>
        <w:t xml:space="preserve">Target resolution time: 15 calendar days from dispute initiation.</w:t>
      </w:r>
    </w:p>
    <w:p>
      <w:pPr>
        <w:pStyle w:val="ListParagraph"/>
        <w:numPr>
          <w:ilvl w:val="0"/>
          <w:numId w:val="3"/>
        </w:numPr>
        <w:spacing w:after="40" w:before="40"/>
      </w:pPr>
      <w:r>
        <w:rPr>
          <w:rFonts w:ascii="Calibri" w:cs="Calibri" w:eastAsia="Calibri" w:hAnsi="Calibri"/>
          <w:color w:val="222222"/>
          <w:sz w:val="22"/>
          <w:szCs w:val="22"/>
        </w:rPr>
        <w:t xml:space="preserve">Unresolved invoices are escalated to the BU Head and GSC Head for decision (withhold payment pending resolution, or settle and pursue recovery).</w:t>
      </w:r>
    </w:p>
    <w:p>
      <w:pPr>
        <w:pStyle w:val="Heading1"/>
        <w:pBdr>
          <w:bottom w:val="single" w:color="1F3864" w:sz="18" w:space="4"/>
        </w:pBdr>
        <w:spacing w:after="160" w:before="320"/>
      </w:pPr>
      <w:r>
        <w:rPr>
          <w:rFonts w:ascii="Calibri" w:cs="Calibri" w:eastAsia="Calibri" w:hAnsi="Calibri"/>
          <w:b/>
          <w:bCs/>
          <w:color w:val="1F3864"/>
          <w:sz w:val="30"/>
          <w:szCs w:val="30"/>
        </w:rPr>
        <w:t xml:space="preserve">7. Advance Payments &amp; Performance Guarantees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RESTRICTED ADVANCE PAYMENT AUTHORITY</w:t>
            </w:r>
          </w:p>
          <w:p>
            <w:pPr>
              <w:spacing w:before="80"/>
            </w:pPr>
            <w:r>
              <w:rPr>
                <w:rFonts w:ascii="Calibri" w:cs="Calibri" w:eastAsia="Calibri" w:hAnsi="Calibri"/>
                <w:color w:val="333333"/>
                <w:sz w:val="20"/>
                <w:szCs w:val="20"/>
              </w:rPr>
              <w:t xml:space="preserve">Advance payments are discouraged and restricted to maximum 20% of contract value, subject to Performance Guarantee (bank guarantee or parent company guarantee) in the full amount of the advance for contracts valued above AED 500K. Approval required from CFO or Group Procurement Head. Small purchases (&lt; AED 50K) may permit advances up to 50% with written BU Head approval.</w:t>
            </w:r>
          </w:p>
        </w:tc>
      </w:tr>
    </w:tbl>
    <w:p>
      <w:pPr>
        <w:spacing w:after="60" w:before="60" w:line="290"/>
        <w:jc w:val="both"/>
      </w:pPr>
      <w:r>
        <w:rPr>
          <w:rFonts w:ascii="Calibri" w:cs="Calibri" w:eastAsia="Calibri" w:hAnsi="Calibri"/>
          <w:color w:val="222222"/>
          <w:sz w:val="22"/>
          <w:szCs w:val="22"/>
        </w:rPr>
        <w:t xml:space="preserve">Advance payment is used primarily for:</w:t>
      </w:r>
    </w:p>
    <w:p>
      <w:pPr>
        <w:pStyle w:val="ListParagraph"/>
        <w:numPr>
          <w:ilvl w:val="0"/>
          <w:numId w:val="2"/>
        </w:numPr>
        <w:spacing w:after="40" w:before="40"/>
      </w:pPr>
      <w:r>
        <w:rPr>
          <w:rFonts w:ascii="Calibri" w:cs="Calibri" w:eastAsia="Calibri" w:hAnsi="Calibri"/>
          <w:color w:val="222222"/>
          <w:sz w:val="22"/>
          <w:szCs w:val="22"/>
        </w:rPr>
        <w:t xml:space="preserve">Long-lead custom equipment requiring tooling or procurement of raw materials.</w:t>
      </w:r>
    </w:p>
    <w:p>
      <w:pPr>
        <w:pStyle w:val="ListParagraph"/>
        <w:numPr>
          <w:ilvl w:val="0"/>
          <w:numId w:val="2"/>
        </w:numPr>
        <w:spacing w:after="40" w:before="40"/>
      </w:pPr>
      <w:r>
        <w:rPr>
          <w:rFonts w:ascii="Calibri" w:cs="Calibri" w:eastAsia="Calibri" w:hAnsi="Calibri"/>
          <w:color w:val="222222"/>
          <w:sz w:val="22"/>
          <w:szCs w:val="22"/>
        </w:rPr>
        <w:t xml:space="preserve">Contracts with suppliers in high-risk jurisdictions where upfront payment is standard.</w:t>
      </w:r>
    </w:p>
    <w:p>
      <w:pPr>
        <w:spacing w:after="60" w:before="60" w:line="290"/>
        <w:jc w:val="both"/>
      </w:pPr>
      <w:r>
        <w:rPr>
          <w:rFonts w:ascii="Calibri" w:cs="Calibri" w:eastAsia="Calibri" w:hAnsi="Calibri"/>
          <w:color w:val="222222"/>
          <w:sz w:val="22"/>
          <w:szCs w:val="22"/>
        </w:rPr>
        <w:t xml:space="preserve">All advances are tracked in a register and reconciled against final invoices and delivery.</w:t>
      </w:r>
    </w:p>
    <w:p>
      <w:pPr>
        <w:pStyle w:val="Heading1"/>
        <w:pBdr>
          <w:bottom w:val="single" w:color="1F3864" w:sz="18" w:space="4"/>
        </w:pBdr>
        <w:spacing w:after="160" w:before="320"/>
      </w:pPr>
      <w:r>
        <w:rPr>
          <w:rFonts w:ascii="Calibri" w:cs="Calibri" w:eastAsia="Calibri" w:hAnsi="Calibri"/>
          <w:b/>
          <w:bCs/>
          <w:color w:val="1F3864"/>
          <w:sz w:val="30"/>
          <w:szCs w:val="30"/>
        </w:rPr>
        <w:t xml:space="preserve">8. Retention (Hold-Back) Amounts</w:t>
      </w:r>
    </w:p>
    <w:p>
      <w:pPr>
        <w:spacing w:after="60" w:before="60" w:line="290"/>
        <w:jc w:val="both"/>
      </w:pPr>
      <w:r>
        <w:rPr>
          <w:rFonts w:ascii="Calibri" w:cs="Calibri" w:eastAsia="Calibri" w:hAnsi="Calibri"/>
          <w:color w:val="222222"/>
          <w:sz w:val="22"/>
          <w:szCs w:val="22"/>
        </w:rPr>
        <w:t xml:space="preserve">For construction, works and multi-month service contracts, retention amounts are standard:</w:t>
      </w:r>
    </w:p>
    <w:p>
      <w:pPr>
        <w:pStyle w:val="ListParagraph"/>
        <w:numPr>
          <w:ilvl w:val="0"/>
          <w:numId w:val="2"/>
        </w:numPr>
        <w:spacing w:after="40" w:before="40"/>
      </w:pPr>
      <w:r>
        <w:rPr>
          <w:rFonts w:ascii="Calibri" w:cs="Calibri" w:eastAsia="Calibri" w:hAnsi="Calibri"/>
          <w:color w:val="222222"/>
          <w:sz w:val="22"/>
          <w:szCs w:val="22"/>
        </w:rPr>
        <w:t xml:space="preserve">Retention Rate: 5–10% of each monthly invoice (contract-specific rate agreed at award).</w:t>
      </w:r>
    </w:p>
    <w:p>
      <w:pPr>
        <w:pStyle w:val="ListParagraph"/>
        <w:numPr>
          <w:ilvl w:val="0"/>
          <w:numId w:val="2"/>
        </w:numPr>
        <w:spacing w:after="40" w:before="40"/>
      </w:pPr>
      <w:r>
        <w:rPr>
          <w:rFonts w:ascii="Calibri" w:cs="Calibri" w:eastAsia="Calibri" w:hAnsi="Calibri"/>
          <w:color w:val="222222"/>
          <w:sz w:val="22"/>
          <w:szCs w:val="22"/>
        </w:rPr>
        <w:t xml:space="preserve">Retention Holds: Held from invoice payment and accumulated in a Retention Account.</w:t>
      </w:r>
    </w:p>
    <w:p>
      <w:pPr>
        <w:pStyle w:val="ListParagraph"/>
        <w:numPr>
          <w:ilvl w:val="0"/>
          <w:numId w:val="2"/>
        </w:numPr>
        <w:spacing w:after="40" w:before="40"/>
      </w:pPr>
      <w:r>
        <w:rPr>
          <w:rFonts w:ascii="Calibri" w:cs="Calibri" w:eastAsia="Calibri" w:hAnsi="Calibri"/>
          <w:color w:val="222222"/>
          <w:sz w:val="22"/>
          <w:szCs w:val="22"/>
        </w:rPr>
        <w:t xml:space="preserve">Release Conditions: Retention is released upon contract completion and satisfaction of final deliverables (certified by BU Procurement and Finance).</w:t>
      </w:r>
    </w:p>
    <w:p>
      <w:pPr>
        <w:pStyle w:val="ListParagraph"/>
        <w:numPr>
          <w:ilvl w:val="0"/>
          <w:numId w:val="2"/>
        </w:numPr>
        <w:spacing w:after="40" w:before="40"/>
      </w:pPr>
      <w:r>
        <w:rPr>
          <w:rFonts w:ascii="Calibri" w:cs="Calibri" w:eastAsia="Calibri" w:hAnsi="Calibri"/>
          <w:color w:val="222222"/>
          <w:sz w:val="22"/>
          <w:szCs w:val="22"/>
        </w:rPr>
        <w:t xml:space="preserve">Release Timing: Retention is released within 30 days of contract completion and sign-off.</w:t>
      </w:r>
    </w:p>
    <w:p>
      <w:pPr>
        <w:pStyle w:val="ListParagraph"/>
        <w:numPr>
          <w:ilvl w:val="0"/>
          <w:numId w:val="2"/>
        </w:numPr>
        <w:spacing w:after="40" w:before="40"/>
      </w:pPr>
      <w:r>
        <w:rPr>
          <w:rFonts w:ascii="Calibri" w:cs="Calibri" w:eastAsia="Calibri" w:hAnsi="Calibri"/>
          <w:color w:val="222222"/>
          <w:sz w:val="22"/>
          <w:szCs w:val="22"/>
        </w:rPr>
        <w:t xml:space="preserve">Interest: No interest is paid on retained amounts (industry standard).</w:t>
      </w:r>
    </w:p>
    <w:p>
      <w:pPr>
        <w:pStyle w:val="Heading1"/>
        <w:pBdr>
          <w:bottom w:val="single" w:color="1F3864" w:sz="18" w:space="4"/>
        </w:pBdr>
        <w:spacing w:after="160" w:before="320"/>
      </w:pPr>
      <w:r>
        <w:rPr>
          <w:rFonts w:ascii="Calibri" w:cs="Calibri" w:eastAsia="Calibri" w:hAnsi="Calibri"/>
          <w:b/>
          <w:bCs/>
          <w:color w:val="1F3864"/>
          <w:sz w:val="30"/>
          <w:szCs w:val="30"/>
        </w:rPr>
        <w:t xml:space="preserve">9. Oracle AP Module Procedures</w:t>
      </w:r>
    </w:p>
    <w:p>
      <w:pPr>
        <w:spacing w:after="60" w:before="60" w:line="290"/>
        <w:jc w:val="both"/>
      </w:pPr>
      <w:r>
        <w:rPr>
          <w:rFonts w:ascii="Calibri" w:cs="Calibri" w:eastAsia="Calibri" w:hAnsi="Calibri"/>
          <w:color w:val="222222"/>
          <w:sz w:val="22"/>
          <w:szCs w:val="22"/>
        </w:rPr>
        <w:t xml:space="preserve">Invoice processing is enforced in Oracle Accounts Payable (AP):</w:t>
      </w:r>
    </w:p>
    <w:p>
      <w:pPr>
        <w:pStyle w:val="ListParagraph"/>
        <w:numPr>
          <w:ilvl w:val="0"/>
          <w:numId w:val="2"/>
        </w:numPr>
        <w:spacing w:after="40" w:before="40"/>
      </w:pPr>
      <w:r>
        <w:rPr>
          <w:rFonts w:ascii="Calibri" w:cs="Calibri" w:eastAsia="Calibri" w:hAnsi="Calibri"/>
          <w:color w:val="222222"/>
          <w:sz w:val="22"/>
          <w:szCs w:val="22"/>
        </w:rPr>
        <w:t xml:space="preserve">All invoices are matched against the PO and GRN automatically by Oracle.</w:t>
      </w:r>
    </w:p>
    <w:p>
      <w:pPr>
        <w:pStyle w:val="ListParagraph"/>
        <w:numPr>
          <w:ilvl w:val="0"/>
          <w:numId w:val="2"/>
        </w:numPr>
        <w:spacing w:after="40" w:before="40"/>
      </w:pPr>
      <w:r>
        <w:rPr>
          <w:rFonts w:ascii="Calibri" w:cs="Calibri" w:eastAsia="Calibri" w:hAnsi="Calibri"/>
          <w:color w:val="222222"/>
          <w:sz w:val="22"/>
          <w:szCs w:val="22"/>
        </w:rPr>
        <w:t xml:space="preserve">Three-way tolerance rules are configured (e.g., ±2% for value, ±5% for quantity).</w:t>
      </w:r>
    </w:p>
    <w:p>
      <w:pPr>
        <w:pStyle w:val="ListParagraph"/>
        <w:numPr>
          <w:ilvl w:val="0"/>
          <w:numId w:val="2"/>
        </w:numPr>
        <w:spacing w:after="40" w:before="40"/>
      </w:pPr>
      <w:r>
        <w:rPr>
          <w:rFonts w:ascii="Calibri" w:cs="Calibri" w:eastAsia="Calibri" w:hAnsi="Calibri"/>
          <w:color w:val="222222"/>
          <w:sz w:val="22"/>
          <w:szCs w:val="22"/>
        </w:rPr>
        <w:t xml:space="preserve">Exceptions exceeding tolerances are flagged for manual review and approval before payment.</w:t>
      </w:r>
    </w:p>
    <w:p>
      <w:pPr>
        <w:pStyle w:val="ListParagraph"/>
        <w:numPr>
          <w:ilvl w:val="0"/>
          <w:numId w:val="2"/>
        </w:numPr>
        <w:spacing w:after="40" w:before="40"/>
      </w:pPr>
      <w:r>
        <w:rPr>
          <w:rFonts w:ascii="Calibri" w:cs="Calibri" w:eastAsia="Calibri" w:hAnsi="Calibri"/>
          <w:color w:val="222222"/>
          <w:sz w:val="22"/>
          <w:szCs w:val="22"/>
        </w:rPr>
        <w:t xml:space="preserve">Payment schedules are generated from Oracle AP and approved per DOA before funds transfer.</w:t>
      </w:r>
    </w:p>
    <w:p>
      <w:pPr>
        <w:pStyle w:val="Heading1"/>
        <w:pBdr>
          <w:bottom w:val="single" w:color="1F3864" w:sz="18" w:space="4"/>
        </w:pBdr>
        <w:spacing w:after="160" w:before="320"/>
      </w:pPr>
      <w:r>
        <w:rPr>
          <w:rFonts w:ascii="Calibri" w:cs="Calibri" w:eastAsia="Calibri" w:hAnsi="Calibri"/>
          <w:b/>
          <w:bCs/>
          <w:color w:val="1F3864"/>
          <w:sz w:val="30"/>
          <w:szCs w:val="30"/>
        </w:rPr>
        <w:t xml:space="preserve">10. Supplier Statement Reconciliation</w:t>
      </w:r>
    </w:p>
    <w:p>
      <w:pPr>
        <w:spacing w:after="60" w:before="60" w:line="290"/>
        <w:jc w:val="both"/>
      </w:pPr>
      <w:r>
        <w:rPr>
          <w:rFonts w:ascii="Calibri" w:cs="Calibri" w:eastAsia="Calibri" w:hAnsi="Calibri"/>
          <w:color w:val="222222"/>
          <w:sz w:val="22"/>
          <w:szCs w:val="22"/>
        </w:rPr>
        <w:t xml:space="preserve">Finance conducts quarterly supplier statement reconciliation:</w:t>
      </w:r>
    </w:p>
    <w:p>
      <w:pPr>
        <w:pStyle w:val="ListParagraph"/>
        <w:numPr>
          <w:ilvl w:val="0"/>
          <w:numId w:val="2"/>
        </w:numPr>
        <w:spacing w:after="40" w:before="40"/>
      </w:pPr>
      <w:r>
        <w:rPr>
          <w:rFonts w:ascii="Calibri" w:cs="Calibri" w:eastAsia="Calibri" w:hAnsi="Calibri"/>
          <w:color w:val="222222"/>
          <w:sz w:val="22"/>
          <w:szCs w:val="22"/>
        </w:rPr>
        <w:t xml:space="preserve">Selected suppliers (those with &gt; 10 POs/invoices per quarter) are asked to provide monthly/quarterly statements.</w:t>
      </w:r>
    </w:p>
    <w:p>
      <w:pPr>
        <w:pStyle w:val="ListParagraph"/>
        <w:numPr>
          <w:ilvl w:val="0"/>
          <w:numId w:val="2"/>
        </w:numPr>
        <w:spacing w:after="40" w:before="40"/>
      </w:pPr>
      <w:r>
        <w:rPr>
          <w:rFonts w:ascii="Calibri" w:cs="Calibri" w:eastAsia="Calibri" w:hAnsi="Calibri"/>
          <w:color w:val="222222"/>
          <w:sz w:val="22"/>
          <w:szCs w:val="22"/>
        </w:rPr>
        <w:t xml:space="preserve">Statements are reconciled against Oracle AP records (invoices, payments, outstanding balances).</w:t>
      </w:r>
    </w:p>
    <w:p>
      <w:pPr>
        <w:pStyle w:val="ListParagraph"/>
        <w:numPr>
          <w:ilvl w:val="0"/>
          <w:numId w:val="2"/>
        </w:numPr>
        <w:spacing w:after="40" w:before="40"/>
      </w:pPr>
      <w:r>
        <w:rPr>
          <w:rFonts w:ascii="Calibri" w:cs="Calibri" w:eastAsia="Calibri" w:hAnsi="Calibri"/>
          <w:color w:val="222222"/>
          <w:sz w:val="22"/>
          <w:szCs w:val="22"/>
        </w:rPr>
        <w:t xml:space="preserve">Reconciliation variances are investigated; confirmed errors are corrected via credit memo or adjustment invoice.</w:t>
      </w:r>
    </w:p>
    <w:p>
      <w:pPr>
        <w:spacing w:after="60" w:before="60" w:line="290"/>
        <w:jc w:val="both"/>
      </w:pPr>
      <w:r>
        <w:rPr>
          <w:rFonts w:ascii="Calibri" w:cs="Calibri" w:eastAsia="Calibri" w:hAnsi="Calibri"/>
          <w:color w:val="222222"/>
          <w:sz w:val="22"/>
          <w:szCs w:val="22"/>
        </w:rPr>
        <w:t xml:space="preserve">Statement reconciliation aids in detecting early issues (duplicate invoices, overpayments, timing differences) and strengthens supplier relationships.</w:t>
      </w:r>
    </w:p>
    <w:p>
      <w:pPr>
        <w:pStyle w:val="Heading1"/>
        <w:pBdr>
          <w:bottom w:val="single" w:color="1F3864" w:sz="18" w:space="4"/>
        </w:pBdr>
        <w:spacing w:after="160" w:before="320"/>
      </w:pPr>
      <w:r>
        <w:rPr>
          <w:rFonts w:ascii="Calibri" w:cs="Calibri" w:eastAsia="Calibri" w:hAnsi="Calibri"/>
          <w:b/>
          <w:bCs/>
          <w:color w:val="1F3864"/>
          <w:sz w:val="30"/>
          <w:szCs w:val="30"/>
        </w:rPr>
        <w:t xml:space="preserve">11. Payment KPIs</w:t>
      </w:r>
    </w:p>
    <w:p>
      <w:pPr>
        <w:spacing w:after="60" w:before="60" w:line="290"/>
        <w:jc w:val="both"/>
      </w:pPr>
      <w:r>
        <w:rPr>
          <w:rFonts w:ascii="Calibri" w:cs="Calibri" w:eastAsia="Calibri" w:hAnsi="Calibri"/>
          <w:color w:val="222222"/>
          <w:sz w:val="22"/>
          <w:szCs w:val="22"/>
        </w:rPr>
        <w:t xml:space="preserve">The following KPIs measure invoice-to-pay efficiency and are reported monthly to the CFO:</w:t>
      </w:r>
    </w:p>
    <w:tbl>
      <w:tblPr>
        <w:tblW w:type="dxa" w:w="8360"/>
        <w:tblBorders>
          <w:top w:val="single" w:color="auto" w:sz="4"/>
          <w:left w:val="single" w:color="auto" w:sz="4"/>
          <w:bottom w:val="single" w:color="auto" w:sz="4"/>
          <w:right w:val="single" w:color="auto" w:sz="4"/>
          <w:insideH w:val="single" w:color="auto" w:sz="4"/>
          <w:insideV w:val="single" w:color="auto" w:sz="4"/>
        </w:tblBorders>
      </w:tblPr>
      <w:tblGrid>
        <w:gridCol w:w="2200"/>
        <w:gridCol w:w="4400"/>
        <w:gridCol w:w="17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KPI</w:t>
            </w:r>
          </w:p>
        </w:tc>
        <w:tc>
          <w:tcPr>
            <w:tcW w:type="dxa" w:w="4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c>
          <w:tcPr>
            <w:tcW w:type="dxa" w:w="1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Target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Invoice Processing Time</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Days from invoice receipt to payment authorization (avg)</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7 days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First-Time Match Rate</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invoices passing three-way match without exception</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90%</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Payment Rate</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invoices paid on or before agreed due date</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95%</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Dispute Resolution Time</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Days from dispute flagged to resolution (avg)</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15 days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12. Reference Forms</w:t>
      </w:r>
    </w:p>
    <w:p>
      <w:pPr>
        <w:pStyle w:val="ListParagraph"/>
        <w:numPr>
          <w:ilvl w:val="0"/>
          <w:numId w:val="2"/>
        </w:numPr>
        <w:spacing w:after="40" w:before="40"/>
      </w:pPr>
      <w:r>
        <w:rPr>
          <w:rFonts w:ascii="Calibri" w:cs="Calibri" w:eastAsia="Calibri" w:hAnsi="Calibri"/>
          <w:color w:val="222222"/>
          <w:sz w:val="22"/>
          <w:szCs w:val="22"/>
        </w:rPr>
        <w:t xml:space="preserve">Form F-PAY-01 — Invoice Dispute Notice</w:t>
      </w:r>
    </w:p>
    <w:p>
      <w:pPr>
        <w:pStyle w:val="ListParagraph"/>
        <w:numPr>
          <w:ilvl w:val="0"/>
          <w:numId w:val="2"/>
        </w:numPr>
        <w:spacing w:after="40" w:before="40"/>
      </w:pPr>
      <w:r>
        <w:rPr>
          <w:rFonts w:ascii="Calibri" w:cs="Calibri" w:eastAsia="Calibri" w:hAnsi="Calibri"/>
          <w:color w:val="222222"/>
          <w:sz w:val="22"/>
          <w:szCs w:val="22"/>
        </w:rPr>
        <w:t xml:space="preserve">Form F-PAY-02 — Advance Payment Authorization</w:t>
      </w:r>
    </w:p>
    <w:p>
      <w:pPr>
        <w:pStyle w:val="ListParagraph"/>
        <w:numPr>
          <w:ilvl w:val="0"/>
          <w:numId w:val="2"/>
        </w:numPr>
        <w:spacing w:after="40" w:before="40"/>
      </w:pPr>
      <w:r>
        <w:rPr>
          <w:rFonts w:ascii="Calibri" w:cs="Calibri" w:eastAsia="Calibri" w:hAnsi="Calibri"/>
          <w:color w:val="222222"/>
          <w:sz w:val="22"/>
          <w:szCs w:val="22"/>
        </w:rPr>
        <w:t xml:space="preserve">Form F-PAY-03 — Retention Release Request</w:t>
      </w:r>
    </w:p>
    <w:p>
      <w:pPr>
        <w:pStyle w:val="Heading1"/>
        <w:pBdr>
          <w:bottom w:val="single" w:color="1F3864" w:sz="18" w:space="4"/>
        </w:pBdr>
        <w:spacing w:after="160" w:before="320"/>
      </w:pPr>
      <w:r>
        <w:rPr>
          <w:rFonts w:ascii="Calibri" w:cs="Calibri" w:eastAsia="Calibri" w:hAnsi="Calibri"/>
          <w:b/>
          <w:bCs/>
          <w:color w:val="1F3864"/>
          <w:sz w:val="30"/>
          <w:szCs w:val="30"/>
        </w:rPr>
        <w:t xml:space="preserve">13.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Accounts Payable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GRN</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Goods Received Note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NPV</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Net Present Value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SME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Small &amp; Medium Enterprise</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P-POL-023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Payment Terms &amp; Invoice Processing</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Payment Terms &amp; Invoice Processing - P-POL-023</dc:title>
  <dc:creator>Bukhatir Group - Group Supply Chain</dc:creator>
  <cp:lastModifiedBy>Un-named</cp:lastModifiedBy>
  <cp:revision>1</cp:revision>
  <dcterms:created xsi:type="dcterms:W3CDTF">2026-04-13T04:45:55.821Z</dcterms:created>
  <dcterms:modified xsi:type="dcterms:W3CDTF">2026-04-13T04:45:55.821Z</dcterms:modified>
</cp:coreProperties>
</file>

<file path=docProps/custom.xml><?xml version="1.0" encoding="utf-8"?>
<Properties xmlns="http://schemas.openxmlformats.org/officeDocument/2006/custom-properties" xmlns:vt="http://schemas.openxmlformats.org/officeDocument/2006/docPropsVTypes"/>
</file>