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P-POL-021</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Category Management &amp; Spend Analysis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Category Management &amp; Spend Analysis</w:t>
      </w:r>
    </w:p>
    <w:p>
      <w:pPr>
        <w:spacing w:after="400"/>
        <w:jc w:val="center"/>
      </w:pPr>
      <w:r>
        <w:rPr>
          <w:rFonts w:ascii="Calibri" w:cs="Calibri" w:eastAsia="Calibri" w:hAnsi="Calibri"/>
          <w:i/>
          <w:iCs/>
          <w:color w:val="6B7280"/>
          <w:sz w:val="24"/>
          <w:szCs w:val="24"/>
        </w:rPr>
        <w:t xml:space="preserve">Strategic Sourcing, Kraljic Matrix &amp; KPIs</w:t>
      </w:r>
    </w:p>
    <w:p>
      <w:pPr>
        <w:spacing w:after="600" w:before="600"/>
      </w:pPr>
      <w:r>
        <w:t xml:space="preserve"/>
      </w:r>
    </w:p>
    <w:p>
      <w:pPr>
        <w:jc w:val="center"/>
      </w:pPr>
      <w:r>
        <w:rPr>
          <w:rFonts w:ascii="Calibri" w:cs="Calibri" w:eastAsia="Calibri" w:hAnsi="Calibri"/>
          <w:b/>
          <w:bCs/>
          <w:color w:val="1F3864"/>
          <w:sz w:val="28"/>
          <w:szCs w:val="28"/>
        </w:rPr>
        <w:t xml:space="preserve">Document No: P-POL-021</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Category Management &amp; Spend Analysis</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Category Management &amp; Spend Analysis</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establishes a strategic approach to managing procurement categories across Bukhatir Group. It defines category segmentation, spend analysis, strategic sourcing methodologies and the role of Category Managers in optimizing value, risk and supplier relationships.</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procurement categories managed by Group Supply Chain and Business Unit Procurement teams. Categories span goods, services, works and sub-contracts.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Kraljic Matrix Category Segmentation</w:t>
      </w:r>
    </w:p>
    <w:p>
      <w:pPr>
        <w:spacing w:after="60" w:before="60" w:line="290"/>
        <w:jc w:val="both"/>
      </w:pPr>
      <w:r>
        <w:rPr>
          <w:rFonts w:ascii="Calibri" w:cs="Calibri" w:eastAsia="Calibri" w:hAnsi="Calibri"/>
          <w:color w:val="222222"/>
          <w:sz w:val="22"/>
          <w:szCs w:val="22"/>
        </w:rPr>
        <w:t xml:space="preserve">Procurement categories are segmented using the Kraljic matrix based on two dimensions: (1) Supply Risk (complexity, scarcity, availability) and (2) Spend Impact (value, criticality to operations). This yields four quadrants, each with distinct sourcing strategies: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2400"/>
        <w:gridCol w:w="2600"/>
        <w:gridCol w:w="2960"/>
      </w:tblGrid>
      <w:tr>
        <w:trPr>
          <w:tblHeader/>
        </w:trPr>
        <w:tc>
          <w:tcPr>
            <w:tcW w:type="dxa" w:w="1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Quadrant</w:t>
            </w:r>
          </w:p>
        </w:tc>
        <w:tc>
          <w:tcPr>
            <w:tcW w:type="dxa" w:w="2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Characteristics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Examples</w:t>
            </w:r>
          </w:p>
        </w:tc>
        <w:tc>
          <w:tcPr>
            <w:tcW w:type="dxa" w:w="29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Strategy</w:t>
            </w:r>
          </w:p>
        </w:tc>
      </w:tr>
      <w:tr>
        <w:tc>
          <w:tcPr>
            <w:tcW w:type="dxa" w:w="1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Strategic</w:t>
            </w:r>
          </w:p>
        </w:tc>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High spend, high supply risk</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Long-lead components, specialized equipment, core raw materials</w:t>
            </w:r>
          </w:p>
        </w:tc>
        <w:tc>
          <w:tcPr>
            <w:tcW w:type="dxa" w:w="2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Develop partnerships, dual source, long-term frameworks</w:t>
            </w:r>
          </w:p>
        </w:tc>
      </w:tr>
      <w:tr>
        <w:tc>
          <w:tcPr>
            <w:tcW w:type="dxa" w:w="1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Leverage</w:t>
            </w:r>
          </w:p>
        </w:tc>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High spend, low supply risk</w:t>
            </w:r>
          </w:p>
        </w:tc>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Commodities, standard consumables, routine services</w:t>
            </w:r>
          </w:p>
        </w:tc>
        <w:tc>
          <w:tcPr>
            <w:tcW w:type="dxa" w:w="2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Competitive tendering, volume consolidation, cost reduction</w:t>
            </w:r>
          </w:p>
        </w:tc>
      </w:tr>
      <w:tr>
        <w:tc>
          <w:tcPr>
            <w:tcW w:type="dxa" w:w="1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Bottleneck</w:t>
            </w:r>
          </w:p>
        </w:tc>
        <w:tc>
          <w:tcPr>
            <w:tcW w:type="dxa" w:w="2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Low spend, high supply risk</w:t>
            </w:r>
          </w:p>
        </w:tc>
        <w:tc>
          <w:tcPr>
            <w:tcW w:type="dxa" w:w="2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Specialized spares, niche subcontractors, emergency services</w:t>
            </w:r>
          </w:p>
        </w:tc>
        <w:tc>
          <w:tcPr>
            <w:tcW w:type="dxa" w:w="2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Stockpile, develop alternatives, premium service agreements</w:t>
            </w:r>
          </w:p>
        </w:tc>
      </w:tr>
      <w:tr>
        <w:tc>
          <w:tcPr>
            <w:tcW w:type="dxa" w:w="1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Routine</w:t>
            </w:r>
          </w:p>
        </w:tc>
        <w:tc>
          <w:tcPr>
            <w:tcW w:type="dxa" w:w="2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Low spend, low supply risk</w:t>
            </w:r>
          </w:p>
        </w:tc>
        <w:tc>
          <w:tcPr>
            <w:tcW w:type="dxa" w:w="2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Standard consumables, office supplies, routine maintenance</w:t>
            </w:r>
          </w:p>
        </w:tc>
        <w:tc>
          <w:tcPr>
            <w:tcW w:type="dxa" w:w="2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E-procurement, automation, vendor-managed inventory</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Annual Spend Analysis Process</w:t>
      </w:r>
    </w:p>
    <w:p>
      <w:pPr>
        <w:spacing w:after="60" w:before="60" w:line="290"/>
        <w:jc w:val="both"/>
      </w:pPr>
      <w:r>
        <w:rPr>
          <w:rFonts w:ascii="Calibri" w:cs="Calibri" w:eastAsia="Calibri" w:hAnsi="Calibri"/>
          <w:color w:val="222222"/>
          <w:sz w:val="22"/>
          <w:szCs w:val="22"/>
        </w:rPr>
        <w:t xml:space="preserve">Each calendar year, GSC performs a comprehensive spend analysis cycle in Q1 (January–March):</w:t>
      </w:r>
    </w:p>
    <w:p>
      <w:pPr>
        <w:pStyle w:val="ListParagraph"/>
        <w:numPr>
          <w:ilvl w:val="0"/>
          <w:numId w:val="2"/>
        </w:numPr>
        <w:spacing w:after="40" w:before="40"/>
      </w:pPr>
      <w:r>
        <w:rPr>
          <w:rFonts w:ascii="Calibri" w:cs="Calibri" w:eastAsia="Calibri" w:hAnsi="Calibri"/>
          <w:color w:val="222222"/>
          <w:sz w:val="22"/>
          <w:szCs w:val="22"/>
        </w:rPr>
        <w:t xml:space="preserve">Data Extraction: All POs, invoices and payments from the prior calendar year are extracted from Oracle.</w:t>
      </w:r>
    </w:p>
    <w:p>
      <w:pPr>
        <w:pStyle w:val="ListParagraph"/>
        <w:numPr>
          <w:ilvl w:val="0"/>
          <w:numId w:val="2"/>
        </w:numPr>
        <w:spacing w:after="40" w:before="40"/>
      </w:pPr>
      <w:r>
        <w:rPr>
          <w:rFonts w:ascii="Calibri" w:cs="Calibri" w:eastAsia="Calibri" w:hAnsi="Calibri"/>
          <w:color w:val="222222"/>
          <w:sz w:val="22"/>
          <w:szCs w:val="22"/>
        </w:rPr>
        <w:t xml:space="preserve">Data Cleansing: Transaction-level data is cleaned, categorized and aggregated by commodity, BU, supplier and business unit.</w:t>
      </w:r>
    </w:p>
    <w:p>
      <w:pPr>
        <w:pStyle w:val="ListParagraph"/>
        <w:numPr>
          <w:ilvl w:val="0"/>
          <w:numId w:val="2"/>
        </w:numPr>
        <w:spacing w:after="40" w:before="40"/>
      </w:pPr>
      <w:r>
        <w:rPr>
          <w:rFonts w:ascii="Calibri" w:cs="Calibri" w:eastAsia="Calibri" w:hAnsi="Calibri"/>
          <w:color w:val="222222"/>
          <w:sz w:val="22"/>
          <w:szCs w:val="22"/>
        </w:rPr>
        <w:t xml:space="preserve">Pareto Analysis (80/20 Rule): Spend is ranked; typically 20% of suppliers account for 80% of spend. This identifies consolidation opportunities.</w:t>
      </w:r>
    </w:p>
    <w:p>
      <w:pPr>
        <w:pStyle w:val="ListParagraph"/>
        <w:numPr>
          <w:ilvl w:val="0"/>
          <w:numId w:val="2"/>
        </w:numPr>
        <w:spacing w:after="40" w:before="40"/>
      </w:pPr>
      <w:r>
        <w:rPr>
          <w:rFonts w:ascii="Calibri" w:cs="Calibri" w:eastAsia="Calibri" w:hAnsi="Calibri"/>
          <w:color w:val="222222"/>
          <w:sz w:val="22"/>
          <w:szCs w:val="22"/>
        </w:rPr>
        <w:t xml:space="preserve">Category Spend Summary: Prepared for each major category (e.g., 'IT Hardware', 'MRO', 'Energy', 'Construction').</w:t>
      </w:r>
    </w:p>
    <w:p>
      <w:pPr>
        <w:pStyle w:val="ListParagraph"/>
        <w:numPr>
          <w:ilvl w:val="0"/>
          <w:numId w:val="2"/>
        </w:numPr>
        <w:spacing w:after="40" w:before="40"/>
      </w:pPr>
      <w:r>
        <w:rPr>
          <w:rFonts w:ascii="Calibri" w:cs="Calibri" w:eastAsia="Calibri" w:hAnsi="Calibri"/>
          <w:color w:val="222222"/>
          <w:sz w:val="22"/>
          <w:szCs w:val="22"/>
        </w:rPr>
        <w:t xml:space="preserve">Root Cause Analysis: Spending patterns, supplier concentration and price trends are analyzed and documented.</w:t>
      </w:r>
    </w:p>
    <w:p>
      <w:pPr>
        <w:spacing w:after="60" w:before="60" w:line="290"/>
        <w:jc w:val="both"/>
      </w:pPr>
      <w:r>
        <w:rPr>
          <w:rFonts w:ascii="Calibri" w:cs="Calibri" w:eastAsia="Calibri" w:hAnsi="Calibri"/>
          <w:color w:val="222222"/>
          <w:sz w:val="22"/>
          <w:szCs w:val="22"/>
        </w:rPr>
        <w:t xml:space="preserve">Outputs are compiled into a Spend Analysis Report presented to BU Heads, Finance and the procurement leadership team. This informs the annual category strategy cycle.</w:t>
      </w:r>
    </w:p>
    <w:p>
      <w:pPr>
        <w:pStyle w:val="Heading1"/>
        <w:pBdr>
          <w:bottom w:val="single" w:color="1F3864" w:sz="18" w:space="4"/>
        </w:pBdr>
        <w:spacing w:after="160" w:before="320"/>
      </w:pPr>
      <w:r>
        <w:rPr>
          <w:rFonts w:ascii="Calibri" w:cs="Calibri" w:eastAsia="Calibri" w:hAnsi="Calibri"/>
          <w:b/>
          <w:bCs/>
          <w:color w:val="1F3864"/>
          <w:sz w:val="30"/>
          <w:szCs w:val="30"/>
        </w:rPr>
        <w:t xml:space="preserve">5. Category Strategy Development</w:t>
      </w:r>
    </w:p>
    <w:p>
      <w:pPr>
        <w:spacing w:after="60" w:before="60" w:line="290"/>
        <w:jc w:val="both"/>
      </w:pPr>
      <w:r>
        <w:rPr>
          <w:rFonts w:ascii="Calibri" w:cs="Calibri" w:eastAsia="Calibri" w:hAnsi="Calibri"/>
          <w:color w:val="222222"/>
          <w:sz w:val="22"/>
          <w:szCs w:val="22"/>
        </w:rPr>
        <w:t xml:space="preserve">For each Kraljic quadrant, a distinct sourcing strategy is developed by the Category Manager in consultation with BU stakeholders:</w:t>
      </w:r>
    </w:p>
    <w:p>
      <w:pPr>
        <w:pStyle w:val="ListParagraph"/>
        <w:numPr>
          <w:ilvl w:val="0"/>
          <w:numId w:val="3"/>
        </w:numPr>
        <w:spacing w:after="40" w:before="40"/>
      </w:pPr>
      <w:r>
        <w:rPr>
          <w:rFonts w:ascii="Calibri" w:cs="Calibri" w:eastAsia="Calibri" w:hAnsi="Calibri"/>
          <w:color w:val="222222"/>
          <w:sz w:val="22"/>
          <w:szCs w:val="22"/>
        </w:rPr>
        <w:t xml:space="preserve">Strategic Quadrant: Develop preferred supplier partnerships, negotiate multi-year agreements, establish joint innovation forums, manage supply continuity.</w:t>
      </w:r>
    </w:p>
    <w:p>
      <w:pPr>
        <w:pStyle w:val="ListParagraph"/>
        <w:numPr>
          <w:ilvl w:val="0"/>
          <w:numId w:val="3"/>
        </w:numPr>
        <w:spacing w:after="40" w:before="40"/>
      </w:pPr>
      <w:r>
        <w:rPr>
          <w:rFonts w:ascii="Calibri" w:cs="Calibri" w:eastAsia="Calibri" w:hAnsi="Calibri"/>
          <w:color w:val="222222"/>
          <w:sz w:val="22"/>
          <w:szCs w:val="22"/>
        </w:rPr>
        <w:t xml:space="preserve">Leverage Quadrant: Conduct competitive tenders, consolidate volume across BUs, benchmark market pricing, negotiate volume discounts.</w:t>
      </w:r>
    </w:p>
    <w:p>
      <w:pPr>
        <w:pStyle w:val="ListParagraph"/>
        <w:numPr>
          <w:ilvl w:val="0"/>
          <w:numId w:val="3"/>
        </w:numPr>
        <w:spacing w:after="40" w:before="40"/>
      </w:pPr>
      <w:r>
        <w:rPr>
          <w:rFonts w:ascii="Calibri" w:cs="Calibri" w:eastAsia="Calibri" w:hAnsi="Calibri"/>
          <w:color w:val="222222"/>
          <w:sz w:val="22"/>
          <w:szCs w:val="22"/>
        </w:rPr>
        <w:t xml:space="preserve">Bottleneck Quadrant: Identify alternative suppliers, invest in inventory, develop long-term relationships, create strategic alliances.</w:t>
      </w:r>
    </w:p>
    <w:p>
      <w:pPr>
        <w:pStyle w:val="ListParagraph"/>
        <w:numPr>
          <w:ilvl w:val="0"/>
          <w:numId w:val="3"/>
        </w:numPr>
        <w:spacing w:after="40" w:before="40"/>
      </w:pPr>
      <w:r>
        <w:rPr>
          <w:rFonts w:ascii="Calibri" w:cs="Calibri" w:eastAsia="Calibri" w:hAnsi="Calibri"/>
          <w:color w:val="222222"/>
          <w:sz w:val="22"/>
          <w:szCs w:val="22"/>
        </w:rPr>
        <w:t xml:space="preserve">Routine Quadrant: Automate procurement (e-procurement, catalog management), implement vendor-managed inventory, minimize process overhead.</w:t>
      </w:r>
    </w:p>
    <w:p>
      <w:pPr>
        <w:pStyle w:val="Heading1"/>
        <w:pBdr>
          <w:bottom w:val="single" w:color="1F3864" w:sz="18" w:space="4"/>
        </w:pBdr>
        <w:spacing w:after="160" w:before="320"/>
      </w:pPr>
      <w:r>
        <w:rPr>
          <w:rFonts w:ascii="Calibri" w:cs="Calibri" w:eastAsia="Calibri" w:hAnsi="Calibri"/>
          <w:b/>
          <w:bCs/>
          <w:color w:val="1F3864"/>
          <w:sz w:val="30"/>
          <w:szCs w:val="30"/>
        </w:rPr>
        <w:t xml:space="preserve">6. Market Intelligence &amp; Benchmarking</w:t>
      </w:r>
    </w:p>
    <w:p>
      <w:pPr>
        <w:spacing w:after="60" w:before="60" w:line="290"/>
        <w:jc w:val="both"/>
      </w:pPr>
      <w:r>
        <w:rPr>
          <w:rFonts w:ascii="Calibri" w:cs="Calibri" w:eastAsia="Calibri" w:hAnsi="Calibri"/>
          <w:color w:val="222222"/>
          <w:sz w:val="22"/>
          <w:szCs w:val="22"/>
        </w:rPr>
        <w:t xml:space="preserve">Category Managers gather market intelligence through:</w:t>
      </w:r>
    </w:p>
    <w:p>
      <w:pPr>
        <w:pStyle w:val="ListParagraph"/>
        <w:numPr>
          <w:ilvl w:val="0"/>
          <w:numId w:val="3"/>
        </w:numPr>
        <w:spacing w:after="40" w:before="40"/>
      </w:pPr>
      <w:r>
        <w:rPr>
          <w:rFonts w:ascii="Calibri" w:cs="Calibri" w:eastAsia="Calibri" w:hAnsi="Calibri"/>
          <w:color w:val="222222"/>
          <w:sz w:val="22"/>
          <w:szCs w:val="22"/>
        </w:rPr>
        <w:t xml:space="preserve">Quarterly supplier capability assessments and capacity reviews.</w:t>
      </w:r>
    </w:p>
    <w:p>
      <w:pPr>
        <w:pStyle w:val="ListParagraph"/>
        <w:numPr>
          <w:ilvl w:val="0"/>
          <w:numId w:val="3"/>
        </w:numPr>
        <w:spacing w:after="40" w:before="40"/>
      </w:pPr>
      <w:r>
        <w:rPr>
          <w:rFonts w:ascii="Calibri" w:cs="Calibri" w:eastAsia="Calibri" w:hAnsi="Calibri"/>
          <w:color w:val="222222"/>
          <w:sz w:val="22"/>
          <w:szCs w:val="22"/>
        </w:rPr>
        <w:t xml:space="preserve">Benchmarking studies comparing Group pricing to market rates for similar commodities.</w:t>
      </w:r>
    </w:p>
    <w:p>
      <w:pPr>
        <w:pStyle w:val="ListParagraph"/>
        <w:numPr>
          <w:ilvl w:val="0"/>
          <w:numId w:val="3"/>
        </w:numPr>
        <w:spacing w:after="40" w:before="40"/>
      </w:pPr>
      <w:r>
        <w:rPr>
          <w:rFonts w:ascii="Calibri" w:cs="Calibri" w:eastAsia="Calibri" w:hAnsi="Calibri"/>
          <w:color w:val="222222"/>
          <w:sz w:val="22"/>
          <w:szCs w:val="22"/>
        </w:rPr>
        <w:t xml:space="preserve">Supply chain risk assessments (geopolitical, regulatory, natural disaster impact).</w:t>
      </w:r>
    </w:p>
    <w:p>
      <w:pPr>
        <w:pStyle w:val="ListParagraph"/>
        <w:numPr>
          <w:ilvl w:val="0"/>
          <w:numId w:val="3"/>
        </w:numPr>
        <w:spacing w:after="40" w:before="40"/>
      </w:pPr>
      <w:r>
        <w:rPr>
          <w:rFonts w:ascii="Calibri" w:cs="Calibri" w:eastAsia="Calibri" w:hAnsi="Calibri"/>
          <w:color w:val="222222"/>
          <w:sz w:val="22"/>
          <w:szCs w:val="22"/>
        </w:rPr>
        <w:t xml:space="preserve">Technology and innovation monitoring (identify efficiency and cost-saving opportunities).</w:t>
      </w:r>
    </w:p>
    <w:p>
      <w:pPr>
        <w:spacing w:after="60" w:before="60" w:line="290"/>
        <w:jc w:val="both"/>
      </w:pPr>
      <w:r>
        <w:rPr>
          <w:rFonts w:ascii="Calibri" w:cs="Calibri" w:eastAsia="Calibri" w:hAnsi="Calibri"/>
          <w:color w:val="222222"/>
          <w:sz w:val="22"/>
          <w:szCs w:val="22"/>
        </w:rPr>
        <w:t xml:space="preserve">Findings are consolidated into a quarterly Market Intelligence Brief shared with BU leadership.</w:t>
      </w:r>
    </w:p>
    <w:p>
      <w:pPr>
        <w:pStyle w:val="Heading1"/>
        <w:pBdr>
          <w:bottom w:val="single" w:color="1F3864" w:sz="18" w:space="4"/>
        </w:pBdr>
        <w:spacing w:after="160" w:before="320"/>
      </w:pPr>
      <w:r>
        <w:rPr>
          <w:rFonts w:ascii="Calibri" w:cs="Calibri" w:eastAsia="Calibri" w:hAnsi="Calibri"/>
          <w:b/>
          <w:bCs/>
          <w:color w:val="1F3864"/>
          <w:sz w:val="30"/>
          <w:szCs w:val="30"/>
        </w:rPr>
        <w:t xml:space="preserve">7. Demand Aggregation &amp; Category Leverage</w:t>
      </w:r>
    </w:p>
    <w:p>
      <w:pPr>
        <w:spacing w:after="60" w:before="60" w:line="290"/>
        <w:jc w:val="both"/>
      </w:pPr>
      <w:r>
        <w:rPr>
          <w:rFonts w:ascii="Calibri" w:cs="Calibri" w:eastAsia="Calibri" w:hAnsi="Calibri"/>
          <w:color w:val="222222"/>
          <w:sz w:val="22"/>
          <w:szCs w:val="22"/>
        </w:rPr>
        <w:t xml:space="preserve">Group Supply Chain aggregates demand across Business Units to maximize negotiating leverage:</w:t>
      </w:r>
    </w:p>
    <w:p>
      <w:pPr>
        <w:pStyle w:val="ListParagraph"/>
        <w:numPr>
          <w:ilvl w:val="0"/>
          <w:numId w:val="3"/>
        </w:numPr>
        <w:spacing w:after="40" w:before="40"/>
      </w:pPr>
      <w:r>
        <w:rPr>
          <w:rFonts w:ascii="Calibri" w:cs="Calibri" w:eastAsia="Calibri" w:hAnsi="Calibri"/>
          <w:color w:val="222222"/>
          <w:sz w:val="22"/>
          <w:szCs w:val="22"/>
        </w:rPr>
        <w:t xml:space="preserve">Annual demand forecasts from all BUs are consolidated by category.</w:t>
      </w:r>
    </w:p>
    <w:p>
      <w:pPr>
        <w:pStyle w:val="ListParagraph"/>
        <w:numPr>
          <w:ilvl w:val="0"/>
          <w:numId w:val="3"/>
        </w:numPr>
        <w:spacing w:after="40" w:before="40"/>
      </w:pPr>
      <w:r>
        <w:rPr>
          <w:rFonts w:ascii="Calibri" w:cs="Calibri" w:eastAsia="Calibri" w:hAnsi="Calibri"/>
          <w:color w:val="222222"/>
          <w:sz w:val="22"/>
          <w:szCs w:val="22"/>
        </w:rPr>
        <w:t xml:space="preserve">Aggregated volumes are presented in sourcing tenders and framework agreements.</w:t>
      </w:r>
    </w:p>
    <w:p>
      <w:pPr>
        <w:pStyle w:val="ListParagraph"/>
        <w:numPr>
          <w:ilvl w:val="0"/>
          <w:numId w:val="3"/>
        </w:numPr>
        <w:spacing w:after="40" w:before="40"/>
      </w:pPr>
      <w:r>
        <w:rPr>
          <w:rFonts w:ascii="Calibri" w:cs="Calibri" w:eastAsia="Calibri" w:hAnsi="Calibri"/>
          <w:color w:val="222222"/>
          <w:sz w:val="22"/>
          <w:szCs w:val="22"/>
        </w:rPr>
        <w:t xml:space="preserve">Volume-based pricing discounts flow back to all BUs pro-rata to their contribution.</w:t>
      </w:r>
    </w:p>
    <w:p>
      <w:pPr>
        <w:pStyle w:val="ListParagraph"/>
        <w:numPr>
          <w:ilvl w:val="0"/>
          <w:numId w:val="3"/>
        </w:numPr>
        <w:spacing w:after="40" w:before="40"/>
      </w:pPr>
      <w:r>
        <w:rPr>
          <w:rFonts w:ascii="Calibri" w:cs="Calibri" w:eastAsia="Calibri" w:hAnsi="Calibri"/>
          <w:color w:val="222222"/>
          <w:sz w:val="22"/>
          <w:szCs w:val="22"/>
        </w:rPr>
        <w:t xml:space="preserve">Exception mechanism exists for BU-specific sourcing (documented in P-POL-007).</w:t>
      </w:r>
    </w:p>
    <w:p>
      <w:pPr>
        <w:pStyle w:val="Heading1"/>
        <w:pBdr>
          <w:bottom w:val="single" w:color="1F3864" w:sz="18" w:space="4"/>
        </w:pBdr>
        <w:spacing w:after="160" w:before="320"/>
      </w:pPr>
      <w:r>
        <w:rPr>
          <w:rFonts w:ascii="Calibri" w:cs="Calibri" w:eastAsia="Calibri" w:hAnsi="Calibri"/>
          <w:b/>
          <w:bCs/>
          <w:color w:val="1F3864"/>
          <w:sz w:val="30"/>
          <w:szCs w:val="30"/>
        </w:rPr>
        <w:t xml:space="preserve">8. Category Manager Role &amp; Responsibilities</w:t>
      </w:r>
    </w:p>
    <w:p>
      <w:pPr>
        <w:spacing w:after="60" w:before="60" w:line="290"/>
        <w:jc w:val="both"/>
      </w:pPr>
      <w:r>
        <w:rPr>
          <w:rFonts w:ascii="Calibri" w:cs="Calibri" w:eastAsia="Calibri" w:hAnsi="Calibri"/>
          <w:color w:val="222222"/>
          <w:sz w:val="22"/>
          <w:szCs w:val="22"/>
        </w:rPr>
        <w:t xml:space="preserve">Each major category is assigned to a Category Manager within GSC. Responsibilities include:</w:t>
      </w:r>
    </w:p>
    <w:p>
      <w:pPr>
        <w:pStyle w:val="ListParagraph"/>
        <w:numPr>
          <w:ilvl w:val="0"/>
          <w:numId w:val="3"/>
        </w:numPr>
        <w:spacing w:after="40" w:before="40"/>
      </w:pPr>
      <w:r>
        <w:rPr>
          <w:rFonts w:ascii="Calibri" w:cs="Calibri" w:eastAsia="Calibri" w:hAnsi="Calibri"/>
          <w:color w:val="222222"/>
          <w:sz w:val="22"/>
          <w:szCs w:val="22"/>
        </w:rPr>
        <w:t xml:space="preserve">Developing and executing annual category strategy in alignment with Group and BU business plans.</w:t>
      </w:r>
    </w:p>
    <w:p>
      <w:pPr>
        <w:pStyle w:val="ListParagraph"/>
        <w:numPr>
          <w:ilvl w:val="0"/>
          <w:numId w:val="3"/>
        </w:numPr>
        <w:spacing w:after="40" w:before="40"/>
      </w:pPr>
      <w:r>
        <w:rPr>
          <w:rFonts w:ascii="Calibri" w:cs="Calibri" w:eastAsia="Calibri" w:hAnsi="Calibri"/>
          <w:color w:val="222222"/>
          <w:sz w:val="22"/>
          <w:szCs w:val="22"/>
        </w:rPr>
        <w:t xml:space="preserve">Leading sourcing events (RFQs, tenders, negotiations) and recommending awards.</w:t>
      </w:r>
    </w:p>
    <w:p>
      <w:pPr>
        <w:pStyle w:val="ListParagraph"/>
        <w:numPr>
          <w:ilvl w:val="0"/>
          <w:numId w:val="3"/>
        </w:numPr>
        <w:spacing w:after="40" w:before="40"/>
      </w:pPr>
      <w:r>
        <w:rPr>
          <w:rFonts w:ascii="Calibri" w:cs="Calibri" w:eastAsia="Calibri" w:hAnsi="Calibri"/>
          <w:color w:val="222222"/>
          <w:sz w:val="22"/>
          <w:szCs w:val="22"/>
        </w:rPr>
        <w:t xml:space="preserve">Negotiating framework agreements and monitoring supplier performance.</w:t>
      </w:r>
    </w:p>
    <w:p>
      <w:pPr>
        <w:pStyle w:val="ListParagraph"/>
        <w:numPr>
          <w:ilvl w:val="0"/>
          <w:numId w:val="3"/>
        </w:numPr>
        <w:spacing w:after="40" w:before="40"/>
      </w:pPr>
      <w:r>
        <w:rPr>
          <w:rFonts w:ascii="Calibri" w:cs="Calibri" w:eastAsia="Calibri" w:hAnsi="Calibri"/>
          <w:color w:val="222222"/>
          <w:sz w:val="22"/>
          <w:szCs w:val="22"/>
        </w:rPr>
        <w:t xml:space="preserve">Conducting market intelligence and presenting to BU leadership quarterly.</w:t>
      </w:r>
    </w:p>
    <w:p>
      <w:pPr>
        <w:pStyle w:val="ListParagraph"/>
        <w:numPr>
          <w:ilvl w:val="0"/>
          <w:numId w:val="3"/>
        </w:numPr>
        <w:spacing w:after="40" w:before="40"/>
      </w:pPr>
      <w:r>
        <w:rPr>
          <w:rFonts w:ascii="Calibri" w:cs="Calibri" w:eastAsia="Calibri" w:hAnsi="Calibri"/>
          <w:color w:val="222222"/>
          <w:sz w:val="22"/>
          <w:szCs w:val="22"/>
        </w:rPr>
        <w:t xml:space="preserve">Managing category KPIs (spend under management, contract coverage, cost reduction) and reporting monthly.</w:t>
      </w:r>
    </w:p>
    <w:p>
      <w:pPr>
        <w:pStyle w:val="ListParagraph"/>
        <w:numPr>
          <w:ilvl w:val="0"/>
          <w:numId w:val="3"/>
        </w:numPr>
        <w:spacing w:after="40" w:before="40"/>
      </w:pPr>
      <w:r>
        <w:rPr>
          <w:rFonts w:ascii="Calibri" w:cs="Calibri" w:eastAsia="Calibri" w:hAnsi="Calibri"/>
          <w:color w:val="222222"/>
          <w:sz w:val="22"/>
          <w:szCs w:val="22"/>
        </w:rPr>
        <w:t xml:space="preserve">Escalating category risks and exceptions to the Group Head of Procurement.</w:t>
      </w:r>
    </w:p>
    <w:p>
      <w:pPr>
        <w:pStyle w:val="Heading1"/>
        <w:pBdr>
          <w:bottom w:val="single" w:color="1F3864" w:sz="18" w:space="4"/>
        </w:pBdr>
        <w:spacing w:after="160" w:before="320"/>
      </w:pPr>
      <w:r>
        <w:rPr>
          <w:rFonts w:ascii="Calibri" w:cs="Calibri" w:eastAsia="Calibri" w:hAnsi="Calibri"/>
          <w:b/>
          <w:bCs/>
          <w:color w:val="1F3864"/>
          <w:sz w:val="30"/>
          <w:szCs w:val="30"/>
        </w:rPr>
        <w:t xml:space="preserve">9. Annual Category Plan Cycle</w:t>
      </w:r>
    </w:p>
    <w:p>
      <w:pPr>
        <w:spacing w:after="60" w:before="60" w:line="290"/>
        <w:jc w:val="both"/>
      </w:pPr>
      <w:r>
        <w:rPr>
          <w:rFonts w:ascii="Calibri" w:cs="Calibri" w:eastAsia="Calibri" w:hAnsi="Calibri"/>
          <w:color w:val="222222"/>
          <w:sz w:val="22"/>
          <w:szCs w:val="22"/>
        </w:rPr>
        <w:t xml:space="preserve">The following annual cycle governs category planning and execution: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400"/>
        <w:gridCol w:w="2000"/>
        <w:gridCol w:w="5960"/>
      </w:tblGrid>
      <w:tr>
        <w:trPr>
          <w:tblHeader/>
        </w:trPr>
        <w:tc>
          <w:tcPr>
            <w:tcW w:type="dxa" w:w="1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Quarter</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Phase</w:t>
            </w:r>
          </w:p>
        </w:tc>
        <w:tc>
          <w:tcPr>
            <w:tcW w:type="dxa" w:w="59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Key Activities</w:t>
            </w:r>
          </w:p>
        </w:tc>
      </w:tr>
      <w:tr>
        <w:tc>
          <w:tcPr>
            <w:tcW w:type="dxa" w:w="1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Q4 (Oct–Dec)</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Planning</w:t>
            </w:r>
          </w:p>
        </w:tc>
        <w:tc>
          <w:tcPr>
            <w:tcW w:type="dxa" w:w="5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Spend analysis, market intelligence, demand forecasts, strategy finalization, RFQ prep</w:t>
            </w:r>
          </w:p>
        </w:tc>
      </w:tr>
      <w:tr>
        <w:tc>
          <w:tcPr>
            <w:tcW w:type="dxa" w:w="1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Q1 (Jan–Mar)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Execution</w:t>
            </w:r>
          </w:p>
        </w:tc>
        <w:tc>
          <w:tcPr>
            <w:tcW w:type="dxa" w:w="5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 release, supplier evaluation, award, contract negotiation, framework deployment</w:t>
            </w:r>
          </w:p>
        </w:tc>
      </w:tr>
      <w:tr>
        <w:tc>
          <w:tcPr>
            <w:tcW w:type="dxa" w:w="1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Q2 (Apr–Jun)</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w:t>
            </w:r>
          </w:p>
        </w:tc>
        <w:tc>
          <w:tcPr>
            <w:tcW w:type="dxa" w:w="5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Framework utilization, actual vs. forecast spend, supplier performance scorecard</w:t>
            </w:r>
          </w:p>
        </w:tc>
      </w:tr>
      <w:tr>
        <w:tc>
          <w:tcPr>
            <w:tcW w:type="dxa" w:w="1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Q3 (Jul–Sep)</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Adjustment</w:t>
            </w:r>
          </w:p>
        </w:tc>
        <w:tc>
          <w:tcPr>
            <w:tcW w:type="dxa" w:w="5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Mid-year course corrections, risk mitigation, performance improvement plans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10. Key Performance Indicators</w:t>
      </w:r>
    </w:p>
    <w:p>
      <w:pPr>
        <w:spacing w:after="60" w:before="60" w:line="290"/>
        <w:jc w:val="both"/>
      </w:pPr>
      <w:r>
        <w:rPr>
          <w:rFonts w:ascii="Calibri" w:cs="Calibri" w:eastAsia="Calibri" w:hAnsi="Calibri"/>
          <w:color w:val="222222"/>
          <w:sz w:val="22"/>
          <w:szCs w:val="22"/>
        </w:rPr>
        <w:t xml:space="preserve">Category performance is measured using the following KPIs, aggregated and reported monthly to the CFO:</w:t>
      </w:r>
    </w:p>
    <w:tbl>
      <w:tblPr>
        <w:tblW w:type="dxa" w:w="8360"/>
        <w:tblBorders>
          <w:top w:val="single" w:color="auto" w:sz="4"/>
          <w:left w:val="single" w:color="auto" w:sz="4"/>
          <w:bottom w:val="single" w:color="auto" w:sz="4"/>
          <w:right w:val="single" w:color="auto" w:sz="4"/>
          <w:insideH w:val="single" w:color="auto" w:sz="4"/>
          <w:insideV w:val="single" w:color="auto" w:sz="4"/>
        </w:tblBorders>
      </w:tblPr>
      <w:tblGrid>
        <w:gridCol w:w="2200"/>
        <w:gridCol w:w="4400"/>
        <w:gridCol w:w="17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KPI</w:t>
            </w:r>
          </w:p>
        </w:tc>
        <w:tc>
          <w:tcPr>
            <w:tcW w:type="dxa" w:w="44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c>
          <w:tcPr>
            <w:tcW w:type="dxa" w:w="1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Target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Savings %</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(Baseline Price – Negotiated Price) / Baseline × 100%</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3–5% annually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Spend Under Management</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total category spend covered by framework agreements</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80%</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Contract Coverage</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of transactions executed under a formal contract or framework</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95%</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Consolidation Ratio</w:t>
            </w:r>
          </w:p>
        </w:tc>
        <w:tc>
          <w:tcPr>
            <w:tcW w:type="dxa" w:w="44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Spend concentrated to top 3 suppliers / total category spend</w:t>
            </w:r>
          </w:p>
        </w:tc>
        <w:tc>
          <w:tcPr>
            <w:tcW w:type="dxa" w:w="1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60% (leverage categories)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Category Cycle Time</w:t>
            </w:r>
          </w:p>
        </w:tc>
        <w:tc>
          <w:tcPr>
            <w:tcW w:type="dxa" w:w="44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Days from approval to contract execution</w:t>
            </w:r>
          </w:p>
        </w:tc>
        <w:tc>
          <w:tcPr>
            <w:tcW w:type="dxa" w:w="1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45 days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11.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ASL</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Supplier List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Maintenance, Repair &amp; Operating supplies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RFQ</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Request for Quotation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SRM</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Supplier Relationship Management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TCO</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Total Cost of Ownership</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P-POL-021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Category Management &amp; Spend Analysis</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3"/>
    <w:lvlOverride w:ilvl="0">
      <w:startOverride w:val="1"/>
    </w:lvlOverride>
  </w:num>
  <w:num w:numId="3">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Category Management &amp; Spend Analysis - P-POL-021</dc:title>
  <dc:creator>Bukhatir Group - Group Supply Chain</dc:creator>
  <cp:lastModifiedBy>Un-named</cp:lastModifiedBy>
  <cp:revision>1</cp:revision>
  <dcterms:created xsi:type="dcterms:W3CDTF">2026-04-13T04:45:55.802Z</dcterms:created>
  <dcterms:modified xsi:type="dcterms:W3CDTF">2026-04-13T04:45:55.802Z</dcterms:modified>
</cp:coreProperties>
</file>

<file path=docProps/custom.xml><?xml version="1.0" encoding="utf-8"?>
<Properties xmlns="http://schemas.openxmlformats.org/officeDocument/2006/custom-properties" xmlns:vt="http://schemas.openxmlformats.org/officeDocument/2006/docPropsVTypes"/>
</file>