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P-POL-020</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Vendor Master Data Management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Vendor Master Data Management</w:t>
      </w:r>
    </w:p>
    <w:p>
      <w:pPr>
        <w:spacing w:after="400"/>
        <w:jc w:val="center"/>
      </w:pPr>
      <w:r>
        <w:rPr>
          <w:rFonts w:ascii="Calibri" w:cs="Calibri" w:eastAsia="Calibri" w:hAnsi="Calibri"/>
          <w:i/>
          <w:iCs/>
          <w:color w:val="6B7280"/>
          <w:sz w:val="24"/>
          <w:szCs w:val="24"/>
        </w:rPr>
        <w:t xml:space="preserve">Oracle Vendor Records, Registration &amp; Quality</w:t>
      </w:r>
    </w:p>
    <w:p>
      <w:pPr>
        <w:spacing w:after="600" w:before="600"/>
      </w:pPr>
      <w:r>
        <w:t xml:space="preserve"/>
      </w:r>
    </w:p>
    <w:p>
      <w:pPr>
        <w:jc w:val="center"/>
      </w:pPr>
      <w:r>
        <w:rPr>
          <w:rFonts w:ascii="Calibri" w:cs="Calibri" w:eastAsia="Calibri" w:hAnsi="Calibri"/>
          <w:b/>
          <w:bCs/>
          <w:color w:val="1F3864"/>
          <w:sz w:val="28"/>
          <w:szCs w:val="28"/>
        </w:rPr>
        <w:t xml:space="preserve">Document No: P-POL-020</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Vendor Master Data Management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Vendor Master Data Management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governance over Oracle vendor records and the vendor master database. It defines mandatory vendor registration workflows, data quality standards, and ownership responsibilities across the Group.</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vendor creation, maintenance, and deactivation activities across Bukhatir Group Business Units and Group Supply Chain.</w:t>
      </w:r>
    </w:p>
    <w:p>
      <w:pPr>
        <w:pStyle w:val="Heading1"/>
        <w:pBdr>
          <w:bottom w:val="single" w:color="1F3864" w:sz="18" w:space="4"/>
        </w:pBdr>
        <w:spacing w:after="160" w:before="320"/>
      </w:pPr>
      <w:r>
        <w:rPr>
          <w:rFonts w:ascii="Calibri" w:cs="Calibri" w:eastAsia="Calibri" w:hAnsi="Calibri"/>
          <w:b/>
          <w:bCs/>
          <w:color w:val="1F3864"/>
          <w:sz w:val="30"/>
          <w:szCs w:val="30"/>
        </w:rPr>
        <w:t xml:space="preserve">3. Vendor Registration Workflow</w:t>
      </w:r>
    </w:p>
    <w:p>
      <w:pPr>
        <w:spacing w:after="60" w:before="60" w:line="290"/>
        <w:jc w:val="both"/>
      </w:pPr>
      <w:r>
        <w:rPr>
          <w:rFonts w:ascii="Calibri" w:cs="Calibri" w:eastAsia="Calibri" w:hAnsi="Calibri"/>
          <w:color w:val="222222"/>
          <w:sz w:val="22"/>
          <w:szCs w:val="22"/>
        </w:rPr>
        <w:t xml:space="preserve">Vendor registration follows a standardized four-step workflow in Oracle:</w:t>
      </w:r>
    </w:p>
    <w:p>
      <w:pPr>
        <w:pStyle w:val="ListParagraph"/>
        <w:numPr>
          <w:ilvl w:val="0"/>
          <w:numId w:val="2"/>
        </w:numPr>
        <w:spacing w:after="40" w:before="40"/>
      </w:pPr>
      <w:r>
        <w:rPr>
          <w:rFonts w:ascii="Calibri" w:cs="Calibri" w:eastAsia="Calibri" w:hAnsi="Calibri"/>
          <w:color w:val="222222"/>
          <w:sz w:val="22"/>
          <w:szCs w:val="22"/>
        </w:rPr>
        <w:t xml:space="preserve">BU Procurement submits vendor registration request with supporting documentation.</w:t>
      </w:r>
    </w:p>
    <w:p>
      <w:pPr>
        <w:pStyle w:val="ListParagraph"/>
        <w:numPr>
          <w:ilvl w:val="0"/>
          <w:numId w:val="2"/>
        </w:numPr>
        <w:spacing w:after="40" w:before="40"/>
      </w:pPr>
      <w:r>
        <w:rPr>
          <w:rFonts w:ascii="Calibri" w:cs="Calibri" w:eastAsia="Calibri" w:hAnsi="Calibri"/>
          <w:color w:val="222222"/>
          <w:sz w:val="22"/>
          <w:szCs w:val="22"/>
        </w:rPr>
        <w:t xml:space="preserve">GSC validates completeness of application and compliance with mandatory fields.</w:t>
      </w:r>
    </w:p>
    <w:p>
      <w:pPr>
        <w:pStyle w:val="ListParagraph"/>
        <w:numPr>
          <w:ilvl w:val="0"/>
          <w:numId w:val="2"/>
        </w:numPr>
        <w:spacing w:after="40" w:before="40"/>
      </w:pPr>
      <w:r>
        <w:rPr>
          <w:rFonts w:ascii="Calibri" w:cs="Calibri" w:eastAsia="Calibri" w:hAnsi="Calibri"/>
          <w:color w:val="222222"/>
          <w:sz w:val="22"/>
          <w:szCs w:val="22"/>
        </w:rPr>
        <w:t xml:space="preserve">Finance assigns payment terms, payment method and banking details.</w:t>
      </w:r>
    </w:p>
    <w:p>
      <w:pPr>
        <w:pStyle w:val="ListParagraph"/>
        <w:numPr>
          <w:ilvl w:val="0"/>
          <w:numId w:val="2"/>
        </w:numPr>
        <w:spacing w:after="40" w:before="40"/>
      </w:pPr>
      <w:r>
        <w:rPr>
          <w:rFonts w:ascii="Calibri" w:cs="Calibri" w:eastAsia="Calibri" w:hAnsi="Calibri"/>
          <w:color w:val="222222"/>
          <w:sz w:val="22"/>
          <w:szCs w:val="22"/>
        </w:rPr>
        <w:t xml:space="preserve">Oracle vendor master record is created and activated in the system.</w:t>
      </w:r>
    </w:p>
    <w:p>
      <w:pPr>
        <w:spacing w:after="60" w:before="60" w:line="290"/>
        <w:jc w:val="both"/>
      </w:pPr>
      <w:r>
        <w:rPr>
          <w:rFonts w:ascii="Calibri" w:cs="Calibri" w:eastAsia="Calibri" w:hAnsi="Calibri"/>
          <w:color w:val="222222"/>
          <w:sz w:val="22"/>
          <w:szCs w:val="22"/>
        </w:rPr>
        <w:t xml:space="preserve">Average processing time: 5 business days. All steps are tracked in Oracle and escalated if delayed beyond 7 days.</w:t>
      </w:r>
    </w:p>
    <w:p>
      <w:pPr>
        <w:pStyle w:val="Heading1"/>
        <w:pBdr>
          <w:bottom w:val="single" w:color="1F3864" w:sz="18" w:space="4"/>
        </w:pBdr>
        <w:spacing w:after="160" w:before="320"/>
      </w:pPr>
      <w:r>
        <w:rPr>
          <w:rFonts w:ascii="Calibri" w:cs="Calibri" w:eastAsia="Calibri" w:hAnsi="Calibri"/>
          <w:b/>
          <w:bCs/>
          <w:color w:val="1F3864"/>
          <w:sz w:val="30"/>
          <w:szCs w:val="30"/>
        </w:rPr>
        <w:t xml:space="preserve">4. Mandatory Fields &amp; Documentation</w:t>
      </w:r>
    </w:p>
    <w:p>
      <w:pPr>
        <w:spacing w:after="60" w:before="60" w:line="290"/>
        <w:jc w:val="both"/>
      </w:pPr>
      <w:r>
        <w:rPr>
          <w:rFonts w:ascii="Calibri" w:cs="Calibri" w:eastAsia="Calibri" w:hAnsi="Calibri"/>
          <w:color w:val="222222"/>
          <w:sz w:val="22"/>
          <w:szCs w:val="22"/>
        </w:rPr>
        <w:t xml:space="preserve">Every vendor registration request must include the following mandatory fields and supporting documents: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080"/>
        <w:gridCol w:w="408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Field</w:t>
            </w:r>
          </w:p>
        </w:tc>
        <w:tc>
          <w:tcPr>
            <w:tcW w:type="dxa" w:w="308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Required For</w:t>
            </w:r>
          </w:p>
        </w:tc>
        <w:tc>
          <w:tcPr>
            <w:tcW w:type="dxa" w:w="408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Documentation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Trade Licence / Business Registration</w:t>
            </w:r>
          </w:p>
        </w:tc>
        <w:tc>
          <w:tcPr>
            <w:tcW w:type="dxa" w:w="3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vendors</w:t>
            </w:r>
          </w:p>
        </w:tc>
        <w:tc>
          <w:tcPr>
            <w:tcW w:type="dxa" w:w="4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Valid trade licence (PDF, verified)</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VAT Registration Number</w:t>
            </w:r>
          </w:p>
        </w:tc>
        <w:tc>
          <w:tcPr>
            <w:tcW w:type="dxa" w:w="3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Vendors with annual spend &gt; AED 100K</w:t>
            </w:r>
          </w:p>
        </w:tc>
        <w:tc>
          <w:tcPr>
            <w:tcW w:type="dxa" w:w="4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 FTA VAT certificate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Bank Account Details</w:t>
            </w:r>
          </w:p>
        </w:tc>
        <w:tc>
          <w:tcPr>
            <w:tcW w:type="dxa" w:w="3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vendors</w:t>
            </w:r>
          </w:p>
        </w:tc>
        <w:tc>
          <w:tcPr>
            <w:tcW w:type="dxa" w:w="4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bank letter with IBAN, SWIFT code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Category Classification</w:t>
            </w:r>
          </w:p>
        </w:tc>
        <w:tc>
          <w:tcPr>
            <w:tcW w:type="dxa" w:w="3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vendors</w:t>
            </w:r>
          </w:p>
        </w:tc>
        <w:tc>
          <w:tcPr>
            <w:tcW w:type="dxa" w:w="4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category code from Oracle taxonomy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Legal Entity Name &amp; Structure</w:t>
            </w:r>
          </w:p>
        </w:tc>
        <w:tc>
          <w:tcPr>
            <w:tcW w:type="dxa" w:w="3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vendors</w:t>
            </w:r>
          </w:p>
        </w:tc>
        <w:tc>
          <w:tcPr>
            <w:tcW w:type="dxa" w:w="408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Registered legal name, entity type (LLC, LLC/S, PSC, etc.)</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Principal Contact &amp; Email</w:t>
            </w:r>
          </w:p>
        </w:tc>
        <w:tc>
          <w:tcPr>
            <w:tcW w:type="dxa" w:w="3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vendors</w:t>
            </w:r>
          </w:p>
        </w:tc>
        <w:tc>
          <w:tcPr>
            <w:tcW w:type="dxa" w:w="408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Primary contact name, phone, email for correspondence</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Data Ownership &amp; Stewardship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GSC MASTER DATABASE OWNERSHIP</w:t>
            </w:r>
          </w:p>
          <w:p>
            <w:pPr>
              <w:spacing w:before="80"/>
            </w:pPr>
            <w:r>
              <w:rPr>
                <w:rFonts w:ascii="Calibri" w:cs="Calibri" w:eastAsia="Calibri" w:hAnsi="Calibri"/>
                <w:color w:val="333333"/>
                <w:sz w:val="20"/>
                <w:szCs w:val="20"/>
              </w:rPr>
              <w:t xml:space="preserve">Group Supply Chain is the custodian and owner of the Oracle Vendor Master Database. All vendor master data is governed at the Group level. No Business Unit may create or modify vendor records without GSC validation and approval. Changes to vendor payment terms, banking details, or classifications must be logged and traceable in Oracle audit trails.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Annual Vendor Data Cleansing</w:t>
      </w:r>
    </w:p>
    <w:p>
      <w:pPr>
        <w:spacing w:after="60" w:before="60" w:line="290"/>
        <w:jc w:val="both"/>
      </w:pPr>
      <w:r>
        <w:rPr>
          <w:rFonts w:ascii="Calibri" w:cs="Calibri" w:eastAsia="Calibri" w:hAnsi="Calibri"/>
          <w:color w:val="222222"/>
          <w:sz w:val="22"/>
          <w:szCs w:val="22"/>
        </w:rPr>
        <w:t xml:space="preserve">Each calendar year (December–January), GSC executes a mandatory vendor data cleansing exercise:</w:t>
      </w:r>
    </w:p>
    <w:p>
      <w:pPr>
        <w:pStyle w:val="ListParagraph"/>
        <w:numPr>
          <w:ilvl w:val="0"/>
          <w:numId w:val="2"/>
        </w:numPr>
        <w:spacing w:after="40" w:before="40"/>
      </w:pPr>
      <w:r>
        <w:rPr>
          <w:rFonts w:ascii="Calibri" w:cs="Calibri" w:eastAsia="Calibri" w:hAnsi="Calibri"/>
          <w:color w:val="222222"/>
          <w:sz w:val="22"/>
          <w:szCs w:val="22"/>
        </w:rPr>
        <w:t xml:space="preserve">All active vendors are reviewed for transaction activity in the preceding 24 months.</w:t>
      </w:r>
    </w:p>
    <w:p>
      <w:pPr>
        <w:pStyle w:val="ListParagraph"/>
        <w:numPr>
          <w:ilvl w:val="0"/>
          <w:numId w:val="2"/>
        </w:numPr>
        <w:spacing w:after="40" w:before="40"/>
      </w:pPr>
      <w:r>
        <w:rPr>
          <w:rFonts w:ascii="Calibri" w:cs="Calibri" w:eastAsia="Calibri" w:hAnsi="Calibri"/>
          <w:color w:val="222222"/>
          <w:sz w:val="22"/>
          <w:szCs w:val="22"/>
        </w:rPr>
        <w:t xml:space="preserve">Vendors with zero Purchase Orders or invoices in 24 months are flagged as 'Inactive' in Oracle.</w:t>
      </w:r>
    </w:p>
    <w:p>
      <w:pPr>
        <w:pStyle w:val="ListParagraph"/>
        <w:numPr>
          <w:ilvl w:val="0"/>
          <w:numId w:val="2"/>
        </w:numPr>
        <w:spacing w:after="40" w:before="40"/>
      </w:pPr>
      <w:r>
        <w:rPr>
          <w:rFonts w:ascii="Calibri" w:cs="Calibri" w:eastAsia="Calibri" w:hAnsi="Calibri"/>
          <w:color w:val="222222"/>
          <w:sz w:val="22"/>
          <w:szCs w:val="22"/>
        </w:rPr>
        <w:t xml:space="preserve">Inactive vendors are reviewed for archival; those retained must justify business rationale.</w:t>
      </w:r>
    </w:p>
    <w:p>
      <w:pPr>
        <w:pStyle w:val="ListParagraph"/>
        <w:numPr>
          <w:ilvl w:val="0"/>
          <w:numId w:val="2"/>
        </w:numPr>
        <w:spacing w:after="40" w:before="40"/>
      </w:pPr>
      <w:r>
        <w:rPr>
          <w:rFonts w:ascii="Calibri" w:cs="Calibri" w:eastAsia="Calibri" w:hAnsi="Calibri"/>
          <w:color w:val="222222"/>
          <w:sz w:val="22"/>
          <w:szCs w:val="22"/>
        </w:rPr>
        <w:t xml:space="preserve">Archival follows GSC Head approval; archived vendors cannot receive new POs without re-activation.</w:t>
      </w:r>
    </w:p>
    <w:p>
      <w:pPr>
        <w:spacing w:after="60" w:before="60" w:line="290"/>
        <w:jc w:val="both"/>
      </w:pPr>
      <w:r>
        <w:rPr>
          <w:rFonts w:ascii="Calibri" w:cs="Calibri" w:eastAsia="Calibri" w:hAnsi="Calibri"/>
          <w:color w:val="222222"/>
          <w:sz w:val="22"/>
          <w:szCs w:val="22"/>
        </w:rPr>
        <w:t xml:space="preserve">Cleansing results are reported to BU Heads and Finance. Participation in the cleansing exercise is tracked as a compliance KPI.</w:t>
      </w:r>
    </w:p>
    <w:p>
      <w:pPr>
        <w:pStyle w:val="Heading1"/>
        <w:pBdr>
          <w:bottom w:val="single" w:color="1F3864" w:sz="18" w:space="4"/>
        </w:pBdr>
        <w:spacing w:after="160" w:before="320"/>
      </w:pPr>
      <w:r>
        <w:rPr>
          <w:rFonts w:ascii="Calibri" w:cs="Calibri" w:eastAsia="Calibri" w:hAnsi="Calibri"/>
          <w:b/>
          <w:bCs/>
          <w:color w:val="1F3864"/>
          <w:sz w:val="30"/>
          <w:szCs w:val="30"/>
        </w:rPr>
        <w:t xml:space="preserve">7. Duplicate Vendor Detection &amp; Merge</w:t>
      </w:r>
    </w:p>
    <w:p>
      <w:pPr>
        <w:spacing w:after="60" w:before="60" w:line="290"/>
        <w:jc w:val="both"/>
      </w:pPr>
      <w:r>
        <w:rPr>
          <w:rFonts w:ascii="Calibri" w:cs="Calibri" w:eastAsia="Calibri" w:hAnsi="Calibri"/>
          <w:color w:val="222222"/>
          <w:sz w:val="22"/>
          <w:szCs w:val="22"/>
        </w:rPr>
        <w:t xml:space="preserve">GSC maintains protocols for identifying and consolidating duplicate vendor records:</w:t>
      </w:r>
    </w:p>
    <w:p>
      <w:pPr>
        <w:pStyle w:val="ListParagraph"/>
        <w:numPr>
          <w:ilvl w:val="0"/>
          <w:numId w:val="3"/>
        </w:numPr>
        <w:spacing w:after="40" w:before="40"/>
      </w:pPr>
      <w:r>
        <w:rPr>
          <w:rFonts w:ascii="Calibri" w:cs="Calibri" w:eastAsia="Calibri" w:hAnsi="Calibri"/>
          <w:color w:val="222222"/>
          <w:sz w:val="22"/>
          <w:szCs w:val="22"/>
        </w:rPr>
        <w:t xml:space="preserve">Monthly automated matching report: vendor names (fuzzy match), bank account numbers, VAT numbers, contact emails.</w:t>
      </w:r>
    </w:p>
    <w:p>
      <w:pPr>
        <w:pStyle w:val="ListParagraph"/>
        <w:numPr>
          <w:ilvl w:val="0"/>
          <w:numId w:val="3"/>
        </w:numPr>
        <w:spacing w:after="40" w:before="40"/>
      </w:pPr>
      <w:r>
        <w:rPr>
          <w:rFonts w:ascii="Calibri" w:cs="Calibri" w:eastAsia="Calibri" w:hAnsi="Calibri"/>
          <w:color w:val="222222"/>
          <w:sz w:val="22"/>
          <w:szCs w:val="22"/>
        </w:rPr>
        <w:t xml:space="preserve">Suspected duplicates are investigated by GSC; confirmed duplicates are merged into a single master record.</w:t>
      </w:r>
    </w:p>
    <w:p>
      <w:pPr>
        <w:pStyle w:val="ListParagraph"/>
        <w:numPr>
          <w:ilvl w:val="0"/>
          <w:numId w:val="3"/>
        </w:numPr>
        <w:spacing w:after="40" w:before="40"/>
      </w:pPr>
      <w:r>
        <w:rPr>
          <w:rFonts w:ascii="Calibri" w:cs="Calibri" w:eastAsia="Calibri" w:hAnsi="Calibri"/>
          <w:color w:val="222222"/>
          <w:sz w:val="22"/>
          <w:szCs w:val="22"/>
        </w:rPr>
        <w:t xml:space="preserve">Prior to merge, all transactions (POs, invoices, payments) are re-mapped to the master record by Finance.</w:t>
      </w:r>
    </w:p>
    <w:p>
      <w:pPr>
        <w:pStyle w:val="ListParagraph"/>
        <w:numPr>
          <w:ilvl w:val="0"/>
          <w:numId w:val="3"/>
        </w:numPr>
        <w:spacing w:after="40" w:before="40"/>
      </w:pPr>
      <w:r>
        <w:rPr>
          <w:rFonts w:ascii="Calibri" w:cs="Calibri" w:eastAsia="Calibri" w:hAnsi="Calibri"/>
          <w:color w:val="222222"/>
          <w:sz w:val="22"/>
          <w:szCs w:val="22"/>
        </w:rPr>
        <w:t xml:space="preserve">Merged records are documented in the Vendor Consolidation Log; BUs are notified.</w:t>
      </w:r>
    </w:p>
    <w:p>
      <w:pPr>
        <w:pStyle w:val="ListParagraph"/>
        <w:numPr>
          <w:ilvl w:val="0"/>
          <w:numId w:val="3"/>
        </w:numPr>
        <w:spacing w:after="40" w:before="40"/>
      </w:pPr>
      <w:r>
        <w:rPr>
          <w:rFonts w:ascii="Calibri" w:cs="Calibri" w:eastAsia="Calibri" w:hAnsi="Calibri"/>
          <w:color w:val="222222"/>
          <w:sz w:val="22"/>
          <w:szCs w:val="22"/>
        </w:rPr>
        <w:t xml:space="preserve">Target: duplicate rate &lt;1% of active vendors. Monthly KPI tracked by GSC.</w:t>
      </w:r>
    </w:p>
    <w:p>
      <w:pPr>
        <w:pStyle w:val="Heading1"/>
        <w:pBdr>
          <w:bottom w:val="single" w:color="1F3864" w:sz="18" w:space="4"/>
        </w:pBdr>
        <w:spacing w:after="160" w:before="320"/>
      </w:pPr>
      <w:r>
        <w:rPr>
          <w:rFonts w:ascii="Calibri" w:cs="Calibri" w:eastAsia="Calibri" w:hAnsi="Calibri"/>
          <w:b/>
          <w:bCs/>
          <w:color w:val="1F3864"/>
          <w:sz w:val="30"/>
          <w:szCs w:val="30"/>
        </w:rPr>
        <w:t xml:space="preserve">8. Bank Detail Change Controls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DUAL AUTHORIZATION FOR BANK CHANGES</w:t>
            </w:r>
          </w:p>
          <w:p>
            <w:pPr>
              <w:spacing w:before="80"/>
            </w:pPr>
            <w:r>
              <w:rPr>
                <w:rFonts w:ascii="Calibri" w:cs="Calibri" w:eastAsia="Calibri" w:hAnsi="Calibri"/>
                <w:color w:val="333333"/>
                <w:sz w:val="20"/>
                <w:szCs w:val="20"/>
              </w:rPr>
              <w:t xml:space="preserve">Changes to a vendor's bank account details are considered high-risk and require dual authorization: (1) BU Procurement or GSC initiates the request with supporting bank letter, and (2) Finance verifies the new bank account via a confirmation call to the vendor's registered phone number before updating Oracle. A detailed audit trail is maintained.</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9. Vendor Portal &amp; Self-Service (Roadmap)</w:t>
      </w:r>
    </w:p>
    <w:p>
      <w:pPr>
        <w:spacing w:after="60" w:before="60" w:line="290"/>
        <w:jc w:val="both"/>
      </w:pPr>
      <w:r>
        <w:rPr>
          <w:rFonts w:ascii="Calibri" w:cs="Calibri" w:eastAsia="Calibri" w:hAnsi="Calibri"/>
          <w:color w:val="222222"/>
          <w:sz w:val="22"/>
          <w:szCs w:val="22"/>
        </w:rPr>
        <w:t xml:space="preserve">The Group is planning deployment of a vendor self-service portal (future phase) enabling vendors to:</w:t>
      </w:r>
    </w:p>
    <w:p>
      <w:pPr>
        <w:pStyle w:val="ListParagraph"/>
        <w:numPr>
          <w:ilvl w:val="0"/>
          <w:numId w:val="3"/>
        </w:numPr>
        <w:spacing w:after="40" w:before="40"/>
      </w:pPr>
      <w:r>
        <w:rPr>
          <w:rFonts w:ascii="Calibri" w:cs="Calibri" w:eastAsia="Calibri" w:hAnsi="Calibri"/>
          <w:color w:val="222222"/>
          <w:sz w:val="22"/>
          <w:szCs w:val="22"/>
        </w:rPr>
        <w:t xml:space="preserve">Register and maintain their own master data (trade licence, banking, contact details).</w:t>
      </w:r>
    </w:p>
    <w:p>
      <w:pPr>
        <w:pStyle w:val="ListParagraph"/>
        <w:numPr>
          <w:ilvl w:val="0"/>
          <w:numId w:val="3"/>
        </w:numPr>
        <w:spacing w:after="40" w:before="40"/>
      </w:pPr>
      <w:r>
        <w:rPr>
          <w:rFonts w:ascii="Calibri" w:cs="Calibri" w:eastAsia="Calibri" w:hAnsi="Calibri"/>
          <w:color w:val="222222"/>
          <w:sz w:val="22"/>
          <w:szCs w:val="22"/>
        </w:rPr>
        <w:t xml:space="preserve">Submit required documents and attestations (e.g., compliance with Supplier Code of Conduct).</w:t>
      </w:r>
    </w:p>
    <w:p>
      <w:pPr>
        <w:pStyle w:val="ListParagraph"/>
        <w:numPr>
          <w:ilvl w:val="0"/>
          <w:numId w:val="3"/>
        </w:numPr>
        <w:spacing w:after="40" w:before="40"/>
      </w:pPr>
      <w:r>
        <w:rPr>
          <w:rFonts w:ascii="Calibri" w:cs="Calibri" w:eastAsia="Calibri" w:hAnsi="Calibri"/>
          <w:color w:val="222222"/>
          <w:sz w:val="22"/>
          <w:szCs w:val="22"/>
        </w:rPr>
        <w:t xml:space="preserve">Update payment banking information.</w:t>
      </w:r>
    </w:p>
    <w:p>
      <w:pPr>
        <w:spacing w:after="60" w:before="60" w:line="290"/>
        <w:jc w:val="both"/>
      </w:pPr>
      <w:r>
        <w:rPr>
          <w:rFonts w:ascii="Calibri" w:cs="Calibri" w:eastAsia="Calibri" w:hAnsi="Calibri"/>
          <w:color w:val="222222"/>
          <w:sz w:val="22"/>
          <w:szCs w:val="22"/>
        </w:rPr>
        <w:t xml:space="preserve">Portal launch is scheduled for Q3 2026. BU Procurement and Finance will be notified of timeline and change management plan.</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Data Quality KPIs</w:t>
      </w:r>
    </w:p>
    <w:p>
      <w:pPr>
        <w:spacing w:after="60" w:before="60" w:line="290"/>
        <w:jc w:val="both"/>
      </w:pPr>
      <w:r>
        <w:rPr>
          <w:rFonts w:ascii="Calibri" w:cs="Calibri" w:eastAsia="Calibri" w:hAnsi="Calibri"/>
          <w:color w:val="222222"/>
          <w:sz w:val="22"/>
          <w:szCs w:val="22"/>
        </w:rPr>
        <w:t xml:space="preserve">GSC tracks the following data quality metrics monthly and reports to CFO:</w:t>
      </w:r>
    </w:p>
    <w:tbl>
      <w:tblPr>
        <w:tblW w:type="dxa" w:w="8960"/>
        <w:tblBorders>
          <w:top w:val="single" w:color="auto" w:sz="4"/>
          <w:left w:val="single" w:color="auto" w:sz="4"/>
          <w:bottom w:val="single" w:color="auto" w:sz="4"/>
          <w:right w:val="single" w:color="auto" w:sz="4"/>
          <w:insideH w:val="single" w:color="auto" w:sz="4"/>
          <w:insideV w:val="single" w:color="auto" w:sz="4"/>
        </w:tblBorders>
      </w:tblPr>
      <w:tblGrid>
        <w:gridCol w:w="2200"/>
        <w:gridCol w:w="3400"/>
        <w:gridCol w:w="1600"/>
        <w:gridCol w:w="17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3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c>
          <w:tcPr>
            <w:tcW w:type="dxa" w:w="1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Responsibility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Duplicate Rate</w:t>
            </w:r>
          </w:p>
        </w:tc>
        <w:tc>
          <w:tcPr>
            <w:tcW w:type="dxa" w:w="3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active vendors identified as duplicates of an existing record</w:t>
            </w:r>
          </w:p>
        </w:tc>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&lt; 1%</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Field Completeness</w:t>
            </w:r>
          </w:p>
        </w:tc>
        <w:tc>
          <w:tcPr>
            <w:tcW w:type="dxa" w:w="3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active vendors with all mandatory fields populated</w:t>
            </w:r>
          </w:p>
        </w:tc>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98%</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 + BUs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Bank Detail Validation</w:t>
            </w:r>
          </w:p>
        </w:tc>
        <w:tc>
          <w:tcPr>
            <w:tcW w:type="dxa" w:w="3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vendors with bank details verified by confirmation call</w:t>
            </w:r>
          </w:p>
        </w:tc>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99%</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Inactive Vendor Ratio</w:t>
            </w:r>
          </w:p>
        </w:tc>
        <w:tc>
          <w:tcPr>
            <w:tcW w:type="dxa" w:w="3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archived vs. active vendors</w:t>
            </w:r>
          </w:p>
        </w:tc>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Target: 5–10%</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11. Oracle Configuration &amp; Access</w:t>
      </w:r>
    </w:p>
    <w:p>
      <w:pPr>
        <w:spacing w:after="60" w:before="60" w:line="290"/>
        <w:jc w:val="both"/>
      </w:pPr>
      <w:r>
        <w:rPr>
          <w:rFonts w:ascii="Calibri" w:cs="Calibri" w:eastAsia="Calibri" w:hAnsi="Calibri"/>
          <w:color w:val="222222"/>
          <w:sz w:val="22"/>
          <w:szCs w:val="22"/>
        </w:rPr>
        <w:t xml:space="preserve">GSC maintains the following system controls in Oracle:</w:t>
      </w:r>
    </w:p>
    <w:p>
      <w:pPr>
        <w:pStyle w:val="ListParagraph"/>
        <w:numPr>
          <w:ilvl w:val="0"/>
          <w:numId w:val="3"/>
        </w:numPr>
        <w:spacing w:after="40" w:before="40"/>
      </w:pPr>
      <w:r>
        <w:rPr>
          <w:rFonts w:ascii="Calibri" w:cs="Calibri" w:eastAsia="Calibri" w:hAnsi="Calibri"/>
          <w:color w:val="222222"/>
          <w:sz w:val="22"/>
          <w:szCs w:val="22"/>
        </w:rPr>
        <w:t xml:space="preserve">Vendor Master creation rights restricted to GSC and authorized BU Procurement.</w:t>
      </w:r>
    </w:p>
    <w:p>
      <w:pPr>
        <w:pStyle w:val="ListParagraph"/>
        <w:numPr>
          <w:ilvl w:val="0"/>
          <w:numId w:val="3"/>
        </w:numPr>
        <w:spacing w:after="40" w:before="40"/>
      </w:pPr>
      <w:r>
        <w:rPr>
          <w:rFonts w:ascii="Calibri" w:cs="Calibri" w:eastAsia="Calibri" w:hAnsi="Calibri"/>
          <w:color w:val="222222"/>
          <w:sz w:val="22"/>
          <w:szCs w:val="22"/>
        </w:rPr>
        <w:t xml:space="preserve">Bank account changes require dual sign-off in Oracle approval workflow.</w:t>
      </w:r>
    </w:p>
    <w:p>
      <w:pPr>
        <w:pStyle w:val="ListParagraph"/>
        <w:numPr>
          <w:ilvl w:val="0"/>
          <w:numId w:val="3"/>
        </w:numPr>
        <w:spacing w:after="40" w:before="40"/>
      </w:pPr>
      <w:r>
        <w:rPr>
          <w:rFonts w:ascii="Calibri" w:cs="Calibri" w:eastAsia="Calibri" w:hAnsi="Calibri"/>
          <w:color w:val="222222"/>
          <w:sz w:val="22"/>
          <w:szCs w:val="22"/>
        </w:rPr>
        <w:t xml:space="preserve">Mandatory fields enforced at system level (cannot save a vendor record without them).</w:t>
      </w:r>
    </w:p>
    <w:p>
      <w:pPr>
        <w:pStyle w:val="ListParagraph"/>
        <w:numPr>
          <w:ilvl w:val="0"/>
          <w:numId w:val="3"/>
        </w:numPr>
        <w:spacing w:after="40" w:before="40"/>
      </w:pPr>
      <w:r>
        <w:rPr>
          <w:rFonts w:ascii="Calibri" w:cs="Calibri" w:eastAsia="Calibri" w:hAnsi="Calibri"/>
          <w:color w:val="222222"/>
          <w:sz w:val="22"/>
          <w:szCs w:val="22"/>
        </w:rPr>
        <w:t xml:space="preserve">Audit trail logs all vendor master data changes (create, modify, deactivate) with timestamp and user ID.</w:t>
      </w:r>
    </w:p>
    <w:p>
      <w:pPr>
        <w:pStyle w:val="ListParagraph"/>
        <w:numPr>
          <w:ilvl w:val="0"/>
          <w:numId w:val="3"/>
        </w:numPr>
        <w:spacing w:after="40" w:before="40"/>
      </w:pPr>
      <w:r>
        <w:rPr>
          <w:rFonts w:ascii="Calibri" w:cs="Calibri" w:eastAsia="Calibri" w:hAnsi="Calibri"/>
          <w:color w:val="222222"/>
          <w:sz w:val="22"/>
          <w:szCs w:val="22"/>
        </w:rPr>
        <w:t xml:space="preserve">Monthly data quality reports extracted from Oracle and reconciled against backing documentation.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Reference Forms</w:t>
      </w:r>
    </w:p>
    <w:p>
      <w:pPr>
        <w:pStyle w:val="ListParagraph"/>
        <w:numPr>
          <w:ilvl w:val="0"/>
          <w:numId w:val="3"/>
        </w:numPr>
        <w:spacing w:after="40" w:before="40"/>
      </w:pPr>
      <w:r>
        <w:rPr>
          <w:rFonts w:ascii="Calibri" w:cs="Calibri" w:eastAsia="Calibri" w:hAnsi="Calibri"/>
          <w:color w:val="222222"/>
          <w:sz w:val="22"/>
          <w:szCs w:val="22"/>
        </w:rPr>
        <w:t xml:space="preserve">Form F-VMD-01 — Vendor Registration Request</w:t>
      </w:r>
    </w:p>
    <w:p>
      <w:pPr>
        <w:pStyle w:val="ListParagraph"/>
        <w:numPr>
          <w:ilvl w:val="0"/>
          <w:numId w:val="3"/>
        </w:numPr>
        <w:spacing w:after="40" w:before="40"/>
      </w:pPr>
      <w:r>
        <w:rPr>
          <w:rFonts w:ascii="Calibri" w:cs="Calibri" w:eastAsia="Calibri" w:hAnsi="Calibri"/>
          <w:color w:val="222222"/>
          <w:sz w:val="22"/>
          <w:szCs w:val="22"/>
        </w:rPr>
        <w:t xml:space="preserve">Form F-VMD-02 — Vendor Master Data Change Request</w:t>
      </w:r>
    </w:p>
    <w:p>
      <w:pPr>
        <w:pStyle w:val="ListParagraph"/>
        <w:numPr>
          <w:ilvl w:val="0"/>
          <w:numId w:val="3"/>
        </w:numPr>
        <w:spacing w:after="40" w:before="40"/>
      </w:pPr>
      <w:r>
        <w:rPr>
          <w:rFonts w:ascii="Calibri" w:cs="Calibri" w:eastAsia="Calibri" w:hAnsi="Calibri"/>
          <w:color w:val="222222"/>
          <w:sz w:val="22"/>
          <w:szCs w:val="22"/>
        </w:rPr>
        <w:t xml:space="preserve">Form F-VMD-03 — Vendor Data Cleansing Approval</w:t>
      </w:r>
    </w:p>
    <w:p>
      <w:pPr>
        <w:pStyle w:val="Heading1"/>
        <w:pBdr>
          <w:bottom w:val="single" w:color="1F3864" w:sz="18" w:space="4"/>
        </w:pBdr>
        <w:spacing w:after="160" w:before="320"/>
      </w:pPr>
      <w:r>
        <w:rPr>
          <w:rFonts w:ascii="Calibri" w:cs="Calibri" w:eastAsia="Calibri" w:hAnsi="Calibri"/>
          <w:b/>
          <w:bCs/>
          <w:color w:val="1F3864"/>
          <w:sz w:val="30"/>
          <w:szCs w:val="30"/>
        </w:rPr>
        <w:t xml:space="preserve">13.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IBAN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International Bank Account Number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VAT</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Value Added Tax</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P-POL-020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Vendor Master Data Management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Vendor Master Data Management - P-POL-020</dc:title>
  <dc:creator>Bukhatir Group - Group Supply Chain</dc:creator>
  <cp:lastModifiedBy>Un-named</cp:lastModifiedBy>
  <cp:revision>1</cp:revision>
  <dcterms:created xsi:type="dcterms:W3CDTF">2026-04-13T04:45:55.792Z</dcterms:created>
  <dcterms:modified xsi:type="dcterms:W3CDTF">2026-04-13T04:45:55.792Z</dcterms:modified>
</cp:coreProperties>
</file>

<file path=docProps/custom.xml><?xml version="1.0" encoding="utf-8"?>
<Properties xmlns="http://schemas.openxmlformats.org/officeDocument/2006/custom-properties" xmlns:vt="http://schemas.openxmlformats.org/officeDocument/2006/docPropsVTypes"/>
</file>