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P-POL-019</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Inventory, Stores &amp; Warehouse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Inventory, Stores &amp; Warehouse</w:t>
      </w:r>
    </w:p>
    <w:p>
      <w:pPr>
        <w:spacing w:after="400"/>
        <w:jc w:val="center"/>
      </w:pPr>
      <w:r>
        <w:rPr>
          <w:rFonts w:ascii="Calibri" w:cs="Calibri" w:eastAsia="Calibri" w:hAnsi="Calibri"/>
          <w:i/>
          <w:iCs/>
          <w:color w:val="6B7280"/>
          <w:sz w:val="24"/>
          <w:szCs w:val="24"/>
        </w:rPr>
        <w:t xml:space="preserve">Stock Control, Counts &amp; Oracle Integration</w:t>
      </w:r>
    </w:p>
    <w:p>
      <w:pPr>
        <w:spacing w:after="600" w:before="600"/>
      </w:pPr>
      <w:r>
        <w:t xml:space="preserve"/>
      </w:r>
    </w:p>
    <w:p>
      <w:pPr>
        <w:jc w:val="center"/>
      </w:pPr>
      <w:r>
        <w:rPr>
          <w:rFonts w:ascii="Calibri" w:cs="Calibri" w:eastAsia="Calibri" w:hAnsi="Calibri"/>
          <w:b/>
          <w:bCs/>
          <w:color w:val="1F3864"/>
          <w:sz w:val="28"/>
          <w:szCs w:val="28"/>
        </w:rPr>
        <w:t xml:space="preserve">Document No: P-POL-019</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Inventory, Stores &amp; Warehouse</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Inventory, Stores &amp; Warehouse</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the standards for inventory, stores and warehouse management across Bukhatir Group Business Units, ensuring accurate stock, minimum working capital, safe storage and seamless integration with Oracle.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Group-owned and operated stores and warehouses, including raw materials, spares, consumables, tools and finished goods.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Inventory Principles</w:t>
      </w:r>
    </w:p>
    <w:p>
      <w:pPr>
        <w:pStyle w:val="ListParagraph"/>
        <w:numPr>
          <w:ilvl w:val="0"/>
          <w:numId w:val="2"/>
        </w:numPr>
        <w:spacing w:after="40" w:before="40"/>
      </w:pPr>
      <w:r>
        <w:rPr>
          <w:rFonts w:ascii="Calibri" w:cs="Calibri" w:eastAsia="Calibri" w:hAnsi="Calibri"/>
          <w:color w:val="222222"/>
          <w:sz w:val="22"/>
          <w:szCs w:val="22"/>
        </w:rPr>
        <w:t xml:space="preserve">Single source of truth — all stock movements recorded in Oracle in real time.</w:t>
      </w:r>
    </w:p>
    <w:p>
      <w:pPr>
        <w:pStyle w:val="ListParagraph"/>
        <w:numPr>
          <w:ilvl w:val="0"/>
          <w:numId w:val="2"/>
        </w:numPr>
        <w:spacing w:after="40" w:before="40"/>
      </w:pPr>
      <w:r>
        <w:rPr>
          <w:rFonts w:ascii="Calibri" w:cs="Calibri" w:eastAsia="Calibri" w:hAnsi="Calibri"/>
          <w:color w:val="222222"/>
          <w:sz w:val="22"/>
          <w:szCs w:val="22"/>
        </w:rPr>
        <w:t xml:space="preserve">ABC classification — A items (high value) receive tight controls; C items (low value) simplified controls.</w:t>
      </w:r>
    </w:p>
    <w:p>
      <w:pPr>
        <w:pStyle w:val="ListParagraph"/>
        <w:numPr>
          <w:ilvl w:val="0"/>
          <w:numId w:val="2"/>
        </w:numPr>
        <w:spacing w:after="40" w:before="40"/>
      </w:pPr>
      <w:r>
        <w:rPr>
          <w:rFonts w:ascii="Calibri" w:cs="Calibri" w:eastAsia="Calibri" w:hAnsi="Calibri"/>
          <w:color w:val="222222"/>
          <w:sz w:val="22"/>
          <w:szCs w:val="22"/>
        </w:rPr>
        <w:t xml:space="preserve">Min/Max reorder levels set by Category Manager with BU input.</w:t>
      </w:r>
    </w:p>
    <w:p>
      <w:pPr>
        <w:pStyle w:val="ListParagraph"/>
        <w:numPr>
          <w:ilvl w:val="0"/>
          <w:numId w:val="2"/>
        </w:numPr>
        <w:spacing w:after="40" w:before="40"/>
      </w:pPr>
      <w:r>
        <w:rPr>
          <w:rFonts w:ascii="Calibri" w:cs="Calibri" w:eastAsia="Calibri" w:hAnsi="Calibri"/>
          <w:color w:val="222222"/>
          <w:sz w:val="22"/>
          <w:szCs w:val="22"/>
        </w:rPr>
        <w:t xml:space="preserve">FIFO / FEFO rotation as appropriate to the category.</w:t>
      </w:r>
    </w:p>
    <w:p>
      <w:pPr>
        <w:pStyle w:val="ListParagraph"/>
        <w:numPr>
          <w:ilvl w:val="0"/>
          <w:numId w:val="2"/>
        </w:numPr>
        <w:spacing w:after="40" w:before="40"/>
      </w:pPr>
      <w:r>
        <w:rPr>
          <w:rFonts w:ascii="Calibri" w:cs="Calibri" w:eastAsia="Calibri" w:hAnsi="Calibri"/>
          <w:color w:val="222222"/>
          <w:sz w:val="22"/>
          <w:szCs w:val="22"/>
        </w:rPr>
        <w:t xml:space="preserve">Zero tolerance for unrecorded receipts or issues.</w:t>
      </w:r>
    </w:p>
    <w:p>
      <w:pPr>
        <w:pStyle w:val="Heading1"/>
        <w:pBdr>
          <w:bottom w:val="single" w:color="1F3864" w:sz="18" w:space="4"/>
        </w:pBdr>
        <w:spacing w:after="160" w:before="320"/>
      </w:pPr>
      <w:r>
        <w:rPr>
          <w:rFonts w:ascii="Calibri" w:cs="Calibri" w:eastAsia="Calibri" w:hAnsi="Calibri"/>
          <w:b/>
          <w:bCs/>
          <w:color w:val="1F3864"/>
          <w:sz w:val="30"/>
          <w:szCs w:val="30"/>
        </w:rPr>
        <w:t xml:space="preserve">4. Receipt &amp; Issue</w:t>
      </w:r>
    </w:p>
    <w:p>
      <w:pPr>
        <w:pStyle w:val="ListParagraph"/>
        <w:numPr>
          <w:ilvl w:val="0"/>
          <w:numId w:val="3"/>
        </w:numPr>
        <w:spacing w:after="40" w:before="40"/>
      </w:pPr>
      <w:r>
        <w:rPr>
          <w:rFonts w:ascii="Calibri" w:cs="Calibri" w:eastAsia="Calibri" w:hAnsi="Calibri"/>
          <w:color w:val="222222"/>
          <w:sz w:val="22"/>
          <w:szCs w:val="22"/>
        </w:rPr>
        <w:t xml:space="preserve">Goods received against a valid Oracle PO only.</w:t>
      </w:r>
    </w:p>
    <w:p>
      <w:pPr>
        <w:pStyle w:val="ListParagraph"/>
        <w:numPr>
          <w:ilvl w:val="0"/>
          <w:numId w:val="3"/>
        </w:numPr>
        <w:spacing w:after="40" w:before="40"/>
      </w:pPr>
      <w:r>
        <w:rPr>
          <w:rFonts w:ascii="Calibri" w:cs="Calibri" w:eastAsia="Calibri" w:hAnsi="Calibri"/>
          <w:color w:val="222222"/>
          <w:sz w:val="22"/>
          <w:szCs w:val="22"/>
        </w:rPr>
        <w:t xml:space="preserve">Physical inspection: quantity, quality, documentation, HSE compliance.</w:t>
      </w:r>
    </w:p>
    <w:p>
      <w:pPr>
        <w:pStyle w:val="ListParagraph"/>
        <w:numPr>
          <w:ilvl w:val="0"/>
          <w:numId w:val="3"/>
        </w:numPr>
        <w:spacing w:after="40" w:before="40"/>
      </w:pPr>
      <w:r>
        <w:rPr>
          <w:rFonts w:ascii="Calibri" w:cs="Calibri" w:eastAsia="Calibri" w:hAnsi="Calibri"/>
          <w:color w:val="222222"/>
          <w:sz w:val="22"/>
          <w:szCs w:val="22"/>
        </w:rPr>
        <w:t xml:space="preserve">GRN generated in Oracle; discrepancies reported within 24 hours.</w:t>
      </w:r>
    </w:p>
    <w:p>
      <w:pPr>
        <w:pStyle w:val="ListParagraph"/>
        <w:numPr>
          <w:ilvl w:val="0"/>
          <w:numId w:val="3"/>
        </w:numPr>
        <w:spacing w:after="40" w:before="40"/>
      </w:pPr>
      <w:r>
        <w:rPr>
          <w:rFonts w:ascii="Calibri" w:cs="Calibri" w:eastAsia="Calibri" w:hAnsi="Calibri"/>
          <w:color w:val="222222"/>
          <w:sz w:val="22"/>
          <w:szCs w:val="22"/>
        </w:rPr>
        <w:t xml:space="preserve">Issue against an authorised Stores Issue Voucher only.</w:t>
      </w:r>
    </w:p>
    <w:p>
      <w:pPr>
        <w:pStyle w:val="ListParagraph"/>
        <w:numPr>
          <w:ilvl w:val="0"/>
          <w:numId w:val="3"/>
        </w:numPr>
        <w:spacing w:after="40" w:before="40"/>
      </w:pPr>
      <w:r>
        <w:rPr>
          <w:rFonts w:ascii="Calibri" w:cs="Calibri" w:eastAsia="Calibri" w:hAnsi="Calibri"/>
          <w:color w:val="222222"/>
          <w:sz w:val="22"/>
          <w:szCs w:val="22"/>
        </w:rPr>
        <w:t xml:space="preserve">Stock balances updated automatically in Oracle.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5. Stock Counts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200"/>
        <w:gridCol w:w="3360"/>
      </w:tblGrid>
      <w:tr>
        <w:trPr>
          <w:tblHeader/>
        </w:trPr>
        <w:tc>
          <w:tcPr>
            <w:tcW w:type="dxa" w:w="2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Count Type</w:t>
            </w:r>
          </w:p>
        </w:tc>
        <w:tc>
          <w:tcPr>
            <w:tcW w:type="dxa" w:w="3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Frequency</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Responsibility</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Perpetual / cycle count</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Weekly (A items), monthly (B), quarterly (C)</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Store Keeper + Internal Audit sample</w:t>
            </w:r>
          </w:p>
        </w:tc>
      </w:tr>
      <w:tr>
        <w:tc>
          <w:tcPr>
            <w:tcW w:type="dxa" w:w="2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Full physical inventory</w:t>
            </w:r>
          </w:p>
        </w:tc>
        <w:tc>
          <w:tcPr>
            <w:tcW w:type="dxa" w:w="3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Annually</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Finance-led, independent of Stores</w:t>
            </w:r>
          </w:p>
        </w:tc>
      </w:tr>
      <w:tr>
        <w:tc>
          <w:tcPr>
            <w:tcW w:type="dxa" w:w="2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Surprise checks</w:t>
            </w:r>
          </w:p>
        </w:tc>
        <w:tc>
          <w:tcPr>
            <w:tcW w:type="dxa" w:w="3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Ad-hoc</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Internal Audit</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Slow-Moving &amp; Obsolete Stock</w:t>
      </w:r>
    </w:p>
    <w:p>
      <w:pPr>
        <w:spacing w:after="60" w:before="60" w:line="290"/>
        <w:jc w:val="both"/>
      </w:pPr>
      <w:r>
        <w:rPr>
          <w:rFonts w:ascii="Calibri" w:cs="Calibri" w:eastAsia="Calibri" w:hAnsi="Calibri"/>
          <w:color w:val="222222"/>
          <w:sz w:val="22"/>
          <w:szCs w:val="22"/>
        </w:rPr>
        <w:t xml:space="preserve">Items with no movement for &gt; 12 months are flagged as slow-moving; &gt; 24 months as obsolete. Obsolete stock is reviewed for disposal under SOP 7 (P-POL-008).</w:t>
      </w:r>
    </w:p>
    <w:p>
      <w:pPr>
        <w:pStyle w:val="Heading1"/>
        <w:pBdr>
          <w:bottom w:val="single" w:color="1F3864" w:sz="18" w:space="4"/>
        </w:pBdr>
        <w:spacing w:after="160" w:before="320"/>
      </w:pPr>
      <w:r>
        <w:rPr>
          <w:rFonts w:ascii="Calibri" w:cs="Calibri" w:eastAsia="Calibri" w:hAnsi="Calibri"/>
          <w:b/>
          <w:bCs/>
          <w:color w:val="1F3864"/>
          <w:sz w:val="30"/>
          <w:szCs w:val="30"/>
        </w:rPr>
        <w:t xml:space="preserve">7. Safety &amp; HSE</w:t>
      </w:r>
    </w:p>
    <w:p>
      <w:pPr>
        <w:pStyle w:val="ListParagraph"/>
        <w:numPr>
          <w:ilvl w:val="0"/>
          <w:numId w:val="2"/>
        </w:numPr>
        <w:spacing w:after="40" w:before="40"/>
      </w:pPr>
      <w:r>
        <w:rPr>
          <w:rFonts w:ascii="Calibri" w:cs="Calibri" w:eastAsia="Calibri" w:hAnsi="Calibri"/>
          <w:color w:val="222222"/>
          <w:sz w:val="22"/>
          <w:szCs w:val="22"/>
        </w:rPr>
        <w:t xml:space="preserve">Segregation of hazardous and non-hazardous materials.</w:t>
      </w:r>
    </w:p>
    <w:p>
      <w:pPr>
        <w:pStyle w:val="ListParagraph"/>
        <w:numPr>
          <w:ilvl w:val="0"/>
          <w:numId w:val="2"/>
        </w:numPr>
        <w:spacing w:after="40" w:before="40"/>
      </w:pPr>
      <w:r>
        <w:rPr>
          <w:rFonts w:ascii="Calibri" w:cs="Calibri" w:eastAsia="Calibri" w:hAnsi="Calibri"/>
          <w:color w:val="222222"/>
          <w:sz w:val="22"/>
          <w:szCs w:val="22"/>
        </w:rPr>
        <w:t xml:space="preserve">Racking load limits, fire-fighting equipment, evacuation drills.</w:t>
      </w:r>
    </w:p>
    <w:p>
      <w:pPr>
        <w:pStyle w:val="ListParagraph"/>
        <w:numPr>
          <w:ilvl w:val="0"/>
          <w:numId w:val="2"/>
        </w:numPr>
        <w:spacing w:after="40" w:before="40"/>
      </w:pPr>
      <w:r>
        <w:rPr>
          <w:rFonts w:ascii="Calibri" w:cs="Calibri" w:eastAsia="Calibri" w:hAnsi="Calibri"/>
          <w:color w:val="222222"/>
          <w:sz w:val="22"/>
          <w:szCs w:val="22"/>
        </w:rPr>
        <w:t xml:space="preserve">Controlled access and CCTV coverage for high-value items.</w:t>
      </w:r>
    </w:p>
    <w:p>
      <w:pPr>
        <w:pStyle w:val="Heading1"/>
        <w:pBdr>
          <w:bottom w:val="single" w:color="1F3864" w:sz="18" w:space="4"/>
        </w:pBdr>
        <w:spacing w:after="160" w:before="320"/>
      </w:pPr>
      <w:r>
        <w:rPr>
          <w:rFonts w:ascii="Calibri" w:cs="Calibri" w:eastAsia="Calibri" w:hAnsi="Calibri"/>
          <w:b/>
          <w:bCs/>
          <w:color w:val="1F3864"/>
          <w:sz w:val="30"/>
          <w:szCs w:val="30"/>
        </w:rPr>
        <w:t xml:space="preserve">8. Reference Forms</w:t>
      </w:r>
    </w:p>
    <w:p>
      <w:pPr>
        <w:pStyle w:val="ListParagraph"/>
        <w:numPr>
          <w:ilvl w:val="0"/>
          <w:numId w:val="2"/>
        </w:numPr>
        <w:spacing w:after="40" w:before="40"/>
      </w:pPr>
      <w:r>
        <w:rPr>
          <w:rFonts w:ascii="Calibri" w:cs="Calibri" w:eastAsia="Calibri" w:hAnsi="Calibri"/>
          <w:color w:val="222222"/>
          <w:sz w:val="22"/>
          <w:szCs w:val="22"/>
        </w:rPr>
        <w:t xml:space="preserve">Form F-INV-01 — Goods Received Note (GRN)</w:t>
      </w:r>
    </w:p>
    <w:p>
      <w:pPr>
        <w:pStyle w:val="ListParagraph"/>
        <w:numPr>
          <w:ilvl w:val="0"/>
          <w:numId w:val="2"/>
        </w:numPr>
        <w:spacing w:after="40" w:before="40"/>
      </w:pPr>
      <w:r>
        <w:rPr>
          <w:rFonts w:ascii="Calibri" w:cs="Calibri" w:eastAsia="Calibri" w:hAnsi="Calibri"/>
          <w:color w:val="222222"/>
          <w:sz w:val="22"/>
          <w:szCs w:val="22"/>
        </w:rPr>
        <w:t xml:space="preserve">Form F-INV-02 — Stores Issue Voucher</w:t>
      </w:r>
    </w:p>
    <w:p>
      <w:pPr>
        <w:pStyle w:val="ListParagraph"/>
        <w:numPr>
          <w:ilvl w:val="0"/>
          <w:numId w:val="2"/>
        </w:numPr>
        <w:spacing w:after="40" w:before="40"/>
      </w:pPr>
      <w:r>
        <w:rPr>
          <w:rFonts w:ascii="Calibri" w:cs="Calibri" w:eastAsia="Calibri" w:hAnsi="Calibri"/>
          <w:color w:val="222222"/>
          <w:sz w:val="22"/>
          <w:szCs w:val="22"/>
        </w:rPr>
        <w:t xml:space="preserve">Form F-INV-03 — Stock Count Sheet</w:t>
      </w:r>
    </w:p>
    <w:p>
      <w:pPr>
        <w:pStyle w:val="Heading1"/>
        <w:pBdr>
          <w:bottom w:val="single" w:color="1F3864" w:sz="18" w:space="4"/>
        </w:pBdr>
        <w:spacing w:after="160" w:before="320"/>
      </w:pPr>
      <w:r>
        <w:rPr>
          <w:rFonts w:ascii="Calibri" w:cs="Calibri" w:eastAsia="Calibri" w:hAnsi="Calibri"/>
          <w:b/>
          <w:bCs/>
          <w:color w:val="1F3864"/>
          <w:sz w:val="30"/>
          <w:szCs w:val="30"/>
        </w:rPr>
        <w:t xml:space="preserve">9.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BIN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Bin or Storage Location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FIFO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First In First Out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FEFO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First Expired First Out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GRN</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Received Note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HSE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Health Safety and Environment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MHE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Material Handling Equipment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PPE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Personal Protective Equipment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SDR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Scrap Disposal Report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SKU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Stock Keeping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WAIF</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Write-off Initial Approval Form</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P-POL-019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Inventory, Stores &amp; Warehouse</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Inventory, Stores &amp; Warehouse - P-POL-019</dc:title>
  <dc:creator>Bukhatir Group - Group Supply Chain</dc:creator>
  <cp:lastModifiedBy>Un-named</cp:lastModifiedBy>
  <cp:revision>1</cp:revision>
  <dcterms:created xsi:type="dcterms:W3CDTF">2026-04-13T04:45:55.783Z</dcterms:created>
  <dcterms:modified xsi:type="dcterms:W3CDTF">2026-04-13T04:45:55.783Z</dcterms:modified>
</cp:coreProperties>
</file>

<file path=docProps/custom.xml><?xml version="1.0" encoding="utf-8"?>
<Properties xmlns="http://schemas.openxmlformats.org/officeDocument/2006/custom-properties" xmlns:vt="http://schemas.openxmlformats.org/officeDocument/2006/docPropsVTypes"/>
</file>