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P-POL-018</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Whistleblowing &amp; Fraud Reporting</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Whistleblowing &amp; Fraud Reporting</w:t>
      </w:r>
    </w:p>
    <w:p>
      <w:pPr>
        <w:spacing w:after="400"/>
        <w:jc w:val="center"/>
      </w:pPr>
      <w:r>
        <w:rPr>
          <w:rFonts w:ascii="Calibri" w:cs="Calibri" w:eastAsia="Calibri" w:hAnsi="Calibri"/>
          <w:i/>
          <w:iCs/>
          <w:color w:val="6B7280"/>
          <w:sz w:val="24"/>
          <w:szCs w:val="24"/>
        </w:rPr>
        <w:t xml:space="preserve">Confidential Channels &amp; Non-Retaliation</w:t>
      </w:r>
    </w:p>
    <w:p>
      <w:pPr>
        <w:spacing w:after="600" w:before="600"/>
      </w:pPr>
      <w:r>
        <w:t xml:space="preserve"/>
      </w:r>
    </w:p>
    <w:p>
      <w:pPr>
        <w:jc w:val="center"/>
      </w:pPr>
      <w:r>
        <w:rPr>
          <w:rFonts w:ascii="Calibri" w:cs="Calibri" w:eastAsia="Calibri" w:hAnsi="Calibri"/>
          <w:b/>
          <w:bCs/>
          <w:color w:val="1F3864"/>
          <w:sz w:val="28"/>
          <w:szCs w:val="28"/>
        </w:rPr>
        <w:t xml:space="preserve">Document No: P-POL-018</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Whistleblowing &amp; Fraud Reporting</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Whistleblowing &amp; Fraud Reporting</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establishes secure and confidential channels through which employees, suppliers and third parties may report suspected fraud, bribery, corruption, policy breaches or unethical behaviour in the procurement function, without fear of retaliation.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Group staff, contractors, consultants and suppliers. Reports may concern any procurement-related activity across the Group.</w:t>
      </w:r>
    </w:p>
    <w:p>
      <w:pPr>
        <w:pStyle w:val="Heading1"/>
        <w:pBdr>
          <w:bottom w:val="single" w:color="1F3864" w:sz="18" w:space="4"/>
        </w:pBdr>
        <w:spacing w:after="160" w:before="320"/>
      </w:pPr>
      <w:r>
        <w:rPr>
          <w:rFonts w:ascii="Calibri" w:cs="Calibri" w:eastAsia="Calibri" w:hAnsi="Calibri"/>
          <w:b/>
          <w:bCs/>
          <w:color w:val="1F3864"/>
          <w:sz w:val="30"/>
          <w:szCs w:val="30"/>
        </w:rPr>
        <w:t xml:space="preserve">3. Reporting Channels</w:t>
      </w:r>
    </w:p>
    <w:p>
      <w:pPr>
        <w:pStyle w:val="ListParagraph"/>
        <w:numPr>
          <w:ilvl w:val="0"/>
          <w:numId w:val="2"/>
        </w:numPr>
        <w:spacing w:after="40" w:before="40"/>
      </w:pPr>
      <w:r>
        <w:rPr>
          <w:rFonts w:ascii="Calibri" w:cs="Calibri" w:eastAsia="Calibri" w:hAnsi="Calibri"/>
          <w:color w:val="222222"/>
          <w:sz w:val="22"/>
          <w:szCs w:val="22"/>
        </w:rPr>
        <w:t xml:space="preserve">Dedicated email: whistleblow@bukhatirgroup.com (monitored by Compliance and Internal Audit).</w:t>
      </w:r>
    </w:p>
    <w:p>
      <w:pPr>
        <w:pStyle w:val="ListParagraph"/>
        <w:numPr>
          <w:ilvl w:val="0"/>
          <w:numId w:val="2"/>
        </w:numPr>
        <w:spacing w:after="40" w:before="40"/>
      </w:pPr>
      <w:r>
        <w:rPr>
          <w:rFonts w:ascii="Calibri" w:cs="Calibri" w:eastAsia="Calibri" w:hAnsi="Calibri"/>
          <w:color w:val="222222"/>
          <w:sz w:val="22"/>
          <w:szCs w:val="22"/>
        </w:rPr>
        <w:t xml:space="preserve">Confidential hotline: operated independently, available 24/7.</w:t>
      </w:r>
    </w:p>
    <w:p>
      <w:pPr>
        <w:pStyle w:val="ListParagraph"/>
        <w:numPr>
          <w:ilvl w:val="0"/>
          <w:numId w:val="2"/>
        </w:numPr>
        <w:spacing w:after="40" w:before="40"/>
      </w:pPr>
      <w:r>
        <w:rPr>
          <w:rFonts w:ascii="Calibri" w:cs="Calibri" w:eastAsia="Calibri" w:hAnsi="Calibri"/>
          <w:color w:val="222222"/>
          <w:sz w:val="22"/>
          <w:szCs w:val="22"/>
        </w:rPr>
        <w:t xml:space="preserve">Secure web portal with anonymous submission option.</w:t>
      </w:r>
    </w:p>
    <w:p>
      <w:pPr>
        <w:pStyle w:val="ListParagraph"/>
        <w:numPr>
          <w:ilvl w:val="0"/>
          <w:numId w:val="2"/>
        </w:numPr>
        <w:spacing w:after="40" w:before="40"/>
      </w:pPr>
      <w:r>
        <w:rPr>
          <w:rFonts w:ascii="Calibri" w:cs="Calibri" w:eastAsia="Calibri" w:hAnsi="Calibri"/>
          <w:color w:val="222222"/>
          <w:sz w:val="22"/>
          <w:szCs w:val="22"/>
        </w:rPr>
        <w:t xml:space="preserve">Direct report to the Group Head of Compliance or the Audit Committee Chair.</w:t>
      </w:r>
    </w:p>
    <w:p>
      <w:pPr>
        <w:pStyle w:val="Heading1"/>
        <w:pBdr>
          <w:bottom w:val="single" w:color="1F3864" w:sz="18" w:space="4"/>
        </w:pBdr>
        <w:spacing w:after="160" w:before="320"/>
      </w:pPr>
      <w:r>
        <w:rPr>
          <w:rFonts w:ascii="Calibri" w:cs="Calibri" w:eastAsia="Calibri" w:hAnsi="Calibri"/>
          <w:b/>
          <w:bCs/>
          <w:color w:val="1F3864"/>
          <w:sz w:val="30"/>
          <w:szCs w:val="30"/>
        </w:rPr>
        <w:t xml:space="preserve">4. Scope of Reportable Matters</w:t>
      </w:r>
    </w:p>
    <w:p>
      <w:pPr>
        <w:pStyle w:val="ListParagraph"/>
        <w:numPr>
          <w:ilvl w:val="0"/>
          <w:numId w:val="2"/>
        </w:numPr>
        <w:spacing w:after="40" w:before="40"/>
      </w:pPr>
      <w:r>
        <w:rPr>
          <w:rFonts w:ascii="Calibri" w:cs="Calibri" w:eastAsia="Calibri" w:hAnsi="Calibri"/>
          <w:color w:val="222222"/>
          <w:sz w:val="22"/>
          <w:szCs w:val="22"/>
        </w:rPr>
        <w:t xml:space="preserve">Fraud, theft, embezzlement, false invoicing.</w:t>
      </w:r>
    </w:p>
    <w:p>
      <w:pPr>
        <w:pStyle w:val="ListParagraph"/>
        <w:numPr>
          <w:ilvl w:val="0"/>
          <w:numId w:val="2"/>
        </w:numPr>
        <w:spacing w:after="40" w:before="40"/>
      </w:pPr>
      <w:r>
        <w:rPr>
          <w:rFonts w:ascii="Calibri" w:cs="Calibri" w:eastAsia="Calibri" w:hAnsi="Calibri"/>
          <w:color w:val="222222"/>
          <w:sz w:val="22"/>
          <w:szCs w:val="22"/>
        </w:rPr>
        <w:t xml:space="preserve">Bribery, kickbacks, secret commissions.</w:t>
      </w:r>
    </w:p>
    <w:p>
      <w:pPr>
        <w:pStyle w:val="ListParagraph"/>
        <w:numPr>
          <w:ilvl w:val="0"/>
          <w:numId w:val="2"/>
        </w:numPr>
        <w:spacing w:after="40" w:before="40"/>
      </w:pPr>
      <w:r>
        <w:rPr>
          <w:rFonts w:ascii="Calibri" w:cs="Calibri" w:eastAsia="Calibri" w:hAnsi="Calibri"/>
          <w:color w:val="222222"/>
          <w:sz w:val="22"/>
          <w:szCs w:val="22"/>
        </w:rPr>
        <w:t xml:space="preserve">Collusion, bid-rigging, cartel behaviour.</w:t>
      </w:r>
    </w:p>
    <w:p>
      <w:pPr>
        <w:pStyle w:val="ListParagraph"/>
        <w:numPr>
          <w:ilvl w:val="0"/>
          <w:numId w:val="2"/>
        </w:numPr>
        <w:spacing w:after="40" w:before="40"/>
      </w:pPr>
      <w:r>
        <w:rPr>
          <w:rFonts w:ascii="Calibri" w:cs="Calibri" w:eastAsia="Calibri" w:hAnsi="Calibri"/>
          <w:color w:val="222222"/>
          <w:sz w:val="22"/>
          <w:szCs w:val="22"/>
        </w:rPr>
        <w:t xml:space="preserve">Conflicts of interest not declared.</w:t>
      </w:r>
    </w:p>
    <w:p>
      <w:pPr>
        <w:pStyle w:val="ListParagraph"/>
        <w:numPr>
          <w:ilvl w:val="0"/>
          <w:numId w:val="2"/>
        </w:numPr>
        <w:spacing w:after="40" w:before="40"/>
      </w:pPr>
      <w:r>
        <w:rPr>
          <w:rFonts w:ascii="Calibri" w:cs="Calibri" w:eastAsia="Calibri" w:hAnsi="Calibri"/>
          <w:color w:val="222222"/>
          <w:sz w:val="22"/>
          <w:szCs w:val="22"/>
        </w:rPr>
        <w:t xml:space="preserve">Breach of sanctions, anti-bribery or labour law.</w:t>
      </w:r>
    </w:p>
    <w:p>
      <w:pPr>
        <w:pStyle w:val="ListParagraph"/>
        <w:numPr>
          <w:ilvl w:val="0"/>
          <w:numId w:val="2"/>
        </w:numPr>
        <w:spacing w:after="40" w:before="40"/>
      </w:pPr>
      <w:r>
        <w:rPr>
          <w:rFonts w:ascii="Calibri" w:cs="Calibri" w:eastAsia="Calibri" w:hAnsi="Calibri"/>
          <w:color w:val="222222"/>
          <w:sz w:val="22"/>
          <w:szCs w:val="22"/>
        </w:rPr>
        <w:t xml:space="preserve">Data protection and cyber-security breaches.</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Confidentiality &amp; Non-Retaliation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PROTECTED DISCLOSURE</w:t>
            </w:r>
          </w:p>
          <w:p>
            <w:pPr>
              <w:spacing w:before="80"/>
            </w:pPr>
            <w:r>
              <w:rPr>
                <w:rFonts w:ascii="Calibri" w:cs="Calibri" w:eastAsia="Calibri" w:hAnsi="Calibri"/>
                <w:color w:val="333333"/>
                <w:sz w:val="20"/>
                <w:szCs w:val="20"/>
              </w:rPr>
              <w:t xml:space="preserve">Bukhatir Group guarantees confidentiality for good-faith reporters. Retaliation, harassment or disciplinary action against a reporter is itself a serious breach and is treated as grounds for dismissal.</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Investigation Process</w:t>
      </w:r>
    </w:p>
    <w:p>
      <w:pPr>
        <w:pStyle w:val="ListParagraph"/>
        <w:numPr>
          <w:ilvl w:val="0"/>
          <w:numId w:val="3"/>
        </w:numPr>
        <w:spacing w:after="40" w:before="40"/>
      </w:pPr>
      <w:r>
        <w:rPr>
          <w:rFonts w:ascii="Calibri" w:cs="Calibri" w:eastAsia="Calibri" w:hAnsi="Calibri"/>
          <w:color w:val="222222"/>
          <w:sz w:val="22"/>
          <w:szCs w:val="22"/>
        </w:rPr>
        <w:t xml:space="preserve">Intake and logging by Compliance within 24 hours.</w:t>
      </w:r>
    </w:p>
    <w:p>
      <w:pPr>
        <w:pStyle w:val="ListParagraph"/>
        <w:numPr>
          <w:ilvl w:val="0"/>
          <w:numId w:val="3"/>
        </w:numPr>
        <w:spacing w:after="40" w:before="40"/>
      </w:pPr>
      <w:r>
        <w:rPr>
          <w:rFonts w:ascii="Calibri" w:cs="Calibri" w:eastAsia="Calibri" w:hAnsi="Calibri"/>
          <w:color w:val="222222"/>
          <w:sz w:val="22"/>
          <w:szCs w:val="22"/>
        </w:rPr>
        <w:t xml:space="preserve">Triage and risk assessment.</w:t>
      </w:r>
    </w:p>
    <w:p>
      <w:pPr>
        <w:pStyle w:val="ListParagraph"/>
        <w:numPr>
          <w:ilvl w:val="0"/>
          <w:numId w:val="3"/>
        </w:numPr>
        <w:spacing w:after="40" w:before="40"/>
      </w:pPr>
      <w:r>
        <w:rPr>
          <w:rFonts w:ascii="Calibri" w:cs="Calibri" w:eastAsia="Calibri" w:hAnsi="Calibri"/>
          <w:color w:val="222222"/>
          <w:sz w:val="22"/>
          <w:szCs w:val="22"/>
        </w:rPr>
        <w:t xml:space="preserve">Independent investigation by Internal Audit or external investigator for material matters.</w:t>
      </w:r>
    </w:p>
    <w:p>
      <w:pPr>
        <w:pStyle w:val="ListParagraph"/>
        <w:numPr>
          <w:ilvl w:val="0"/>
          <w:numId w:val="3"/>
        </w:numPr>
        <w:spacing w:after="40" w:before="40"/>
      </w:pPr>
      <w:r>
        <w:rPr>
          <w:rFonts w:ascii="Calibri" w:cs="Calibri" w:eastAsia="Calibri" w:hAnsi="Calibri"/>
          <w:color w:val="222222"/>
          <w:sz w:val="22"/>
          <w:szCs w:val="22"/>
        </w:rPr>
        <w:t xml:space="preserve">Findings reported to the Audit Committee; remedial actions tracked to closure.</w:t>
      </w:r>
    </w:p>
    <w:p>
      <w:pPr>
        <w:pStyle w:val="ListParagraph"/>
        <w:numPr>
          <w:ilvl w:val="0"/>
          <w:numId w:val="3"/>
        </w:numPr>
        <w:spacing w:after="40" w:before="40"/>
      </w:pPr>
      <w:r>
        <w:rPr>
          <w:rFonts w:ascii="Calibri" w:cs="Calibri" w:eastAsia="Calibri" w:hAnsi="Calibri"/>
          <w:color w:val="222222"/>
          <w:sz w:val="22"/>
          <w:szCs w:val="22"/>
        </w:rPr>
        <w:t xml:space="preserve">Feedback to the reporter (where contact details provided).</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Reference Form</w:t>
      </w:r>
    </w:p>
    <w:p>
      <w:pPr>
        <w:spacing w:after="60" w:before="60" w:line="290"/>
        <w:jc w:val="both"/>
      </w:pPr>
      <w:r>
        <w:rPr>
          <w:rFonts w:ascii="Calibri" w:cs="Calibri" w:eastAsia="Calibri" w:hAnsi="Calibri"/>
          <w:color w:val="222222"/>
          <w:sz w:val="22"/>
          <w:szCs w:val="22"/>
        </w:rPr>
        <w:t xml:space="preserve">Form F-WB-01 — Whistleblowing Report Form (anonymous option available).</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Conflict of Interest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Human Resources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P-POL-018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Whistleblowing &amp; Fraud Reporting</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Whistleblowing &amp; Fraud Reporting - P-POL-018</dc:title>
  <dc:creator>Bukhatir Group - Group Supply Chain</dc:creator>
  <cp:lastModifiedBy>Un-named</cp:lastModifiedBy>
  <cp:revision>1</cp:revision>
  <dcterms:created xsi:type="dcterms:W3CDTF">2026-04-13T04:45:55.775Z</dcterms:created>
  <dcterms:modified xsi:type="dcterms:W3CDTF">2026-04-13T04:45:55.775Z</dcterms:modified>
</cp:coreProperties>
</file>

<file path=docProps/custom.xml><?xml version="1.0" encoding="utf-8"?>
<Properties xmlns="http://schemas.openxmlformats.org/officeDocument/2006/custom-properties" xmlns:vt="http://schemas.openxmlformats.org/officeDocument/2006/docPropsVTypes"/>
</file>