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P-POL-017</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Data Protection &amp; Cyber Security</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Data Protection &amp; Cyber Security</w:t>
      </w:r>
    </w:p>
    <w:p>
      <w:pPr>
        <w:spacing w:after="400"/>
        <w:jc w:val="center"/>
      </w:pPr>
      <w:r>
        <w:rPr>
          <w:rFonts w:ascii="Calibri" w:cs="Calibri" w:eastAsia="Calibri" w:hAnsi="Calibri"/>
          <w:i/>
          <w:iCs/>
          <w:color w:val="6B7280"/>
          <w:sz w:val="24"/>
          <w:szCs w:val="24"/>
        </w:rPr>
        <w:t xml:space="preserve">PDPL, Supplier Standards &amp; Oracle Controls</w:t>
      </w:r>
    </w:p>
    <w:p>
      <w:pPr>
        <w:spacing w:after="600" w:before="600"/>
      </w:pPr>
      <w:r>
        <w:t xml:space="preserve"/>
      </w:r>
    </w:p>
    <w:p>
      <w:pPr>
        <w:jc w:val="center"/>
      </w:pPr>
      <w:r>
        <w:rPr>
          <w:rFonts w:ascii="Calibri" w:cs="Calibri" w:eastAsia="Calibri" w:hAnsi="Calibri"/>
          <w:b/>
          <w:bCs/>
          <w:color w:val="1F3864"/>
          <w:sz w:val="28"/>
          <w:szCs w:val="28"/>
        </w:rPr>
        <w:t xml:space="preserve">Document No: P-POL-017</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Data Protection &amp; Cyber Security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Data Protection &amp; Cyber Security</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defines the minimum data protection and cyber-security requirements for suppliers handling Bukhatir Group data, and the controls applied within the procurement function to protect Oracle and related systems.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suppliers who access, store, process or transmit Group data, and to all Group staff operating within the procurement technology stack.</w:t>
      </w:r>
    </w:p>
    <w:p>
      <w:pPr>
        <w:pStyle w:val="Heading1"/>
        <w:pBdr>
          <w:bottom w:val="single" w:color="1F3864" w:sz="18" w:space="4"/>
        </w:pBdr>
        <w:spacing w:after="160" w:before="320"/>
      </w:pPr>
      <w:r>
        <w:rPr>
          <w:rFonts w:ascii="Calibri" w:cs="Calibri" w:eastAsia="Calibri" w:hAnsi="Calibri"/>
          <w:b/>
          <w:bCs/>
          <w:color w:val="1F3864"/>
          <w:sz w:val="30"/>
          <w:szCs w:val="30"/>
        </w:rPr>
        <w:t xml:space="preserve">3. Legal Basis</w:t>
      </w:r>
    </w:p>
    <w:p>
      <w:pPr>
        <w:spacing w:after="60" w:before="60" w:line="290"/>
        <w:jc w:val="both"/>
      </w:pPr>
      <w:r>
        <w:rPr>
          <w:rFonts w:ascii="Calibri" w:cs="Calibri" w:eastAsia="Calibri" w:hAnsi="Calibri"/>
          <w:color w:val="222222"/>
          <w:sz w:val="22"/>
          <w:szCs w:val="22"/>
        </w:rPr>
        <w:t xml:space="preserve">UAE Federal Decree-Law No. 45 of 2021 on the Protection of Personal Data (PDPL), UAE Cyber-Crime Law, and internal Group Information Security Policy.</w:t>
      </w:r>
    </w:p>
    <w:p>
      <w:pPr>
        <w:pStyle w:val="Heading1"/>
        <w:pBdr>
          <w:bottom w:val="single" w:color="1F3864" w:sz="18" w:space="4"/>
        </w:pBdr>
        <w:spacing w:after="160" w:before="320"/>
      </w:pPr>
      <w:r>
        <w:rPr>
          <w:rFonts w:ascii="Calibri" w:cs="Calibri" w:eastAsia="Calibri" w:hAnsi="Calibri"/>
          <w:b/>
          <w:bCs/>
          <w:color w:val="1F3864"/>
          <w:sz w:val="30"/>
          <w:szCs w:val="30"/>
        </w:rPr>
        <w:t xml:space="preserve">4. Supplier Minimum Standards</w:t>
      </w:r>
    </w:p>
    <w:p>
      <w:pPr>
        <w:pStyle w:val="ListParagraph"/>
        <w:numPr>
          <w:ilvl w:val="0"/>
          <w:numId w:val="2"/>
        </w:numPr>
        <w:spacing w:after="40" w:before="40"/>
      </w:pPr>
      <w:r>
        <w:rPr>
          <w:rFonts w:ascii="Calibri" w:cs="Calibri" w:eastAsia="Calibri" w:hAnsi="Calibri"/>
          <w:color w:val="222222"/>
          <w:sz w:val="22"/>
          <w:szCs w:val="22"/>
        </w:rPr>
        <w:t xml:space="preserve">Written Information Security Policy aligned to ISO/IEC 27001 principles.</w:t>
      </w:r>
    </w:p>
    <w:p>
      <w:pPr>
        <w:pStyle w:val="ListParagraph"/>
        <w:numPr>
          <w:ilvl w:val="0"/>
          <w:numId w:val="2"/>
        </w:numPr>
        <w:spacing w:after="40" w:before="40"/>
      </w:pPr>
      <w:r>
        <w:rPr>
          <w:rFonts w:ascii="Calibri" w:cs="Calibri" w:eastAsia="Calibri" w:hAnsi="Calibri"/>
          <w:color w:val="222222"/>
          <w:sz w:val="22"/>
          <w:szCs w:val="22"/>
        </w:rPr>
        <w:t xml:space="preserve">Access control, multi-factor authentication and least-privilege.</w:t>
      </w:r>
    </w:p>
    <w:p>
      <w:pPr>
        <w:pStyle w:val="ListParagraph"/>
        <w:numPr>
          <w:ilvl w:val="0"/>
          <w:numId w:val="2"/>
        </w:numPr>
        <w:spacing w:after="40" w:before="40"/>
      </w:pPr>
      <w:r>
        <w:rPr>
          <w:rFonts w:ascii="Calibri" w:cs="Calibri" w:eastAsia="Calibri" w:hAnsi="Calibri"/>
          <w:color w:val="222222"/>
          <w:sz w:val="22"/>
          <w:szCs w:val="22"/>
        </w:rPr>
        <w:t xml:space="preserve">Encryption of personal and confidential data at rest and in transit.</w:t>
      </w:r>
    </w:p>
    <w:p>
      <w:pPr>
        <w:pStyle w:val="ListParagraph"/>
        <w:numPr>
          <w:ilvl w:val="0"/>
          <w:numId w:val="2"/>
        </w:numPr>
        <w:spacing w:after="40" w:before="40"/>
      </w:pPr>
      <w:r>
        <w:rPr>
          <w:rFonts w:ascii="Calibri" w:cs="Calibri" w:eastAsia="Calibri" w:hAnsi="Calibri"/>
          <w:color w:val="222222"/>
          <w:sz w:val="22"/>
          <w:szCs w:val="22"/>
        </w:rPr>
        <w:t xml:space="preserve">Documented incident response plan with 24-hour notification SLA to the Group.</w:t>
      </w:r>
    </w:p>
    <w:p>
      <w:pPr>
        <w:pStyle w:val="ListParagraph"/>
        <w:numPr>
          <w:ilvl w:val="0"/>
          <w:numId w:val="2"/>
        </w:numPr>
        <w:spacing w:after="40" w:before="40"/>
      </w:pPr>
      <w:r>
        <w:rPr>
          <w:rFonts w:ascii="Calibri" w:cs="Calibri" w:eastAsia="Calibri" w:hAnsi="Calibri"/>
          <w:color w:val="222222"/>
          <w:sz w:val="22"/>
          <w:szCs w:val="22"/>
        </w:rPr>
        <w:t xml:space="preserve">Sub-processor disclosure and written consent for any onward data transfer.</w:t>
      </w:r>
    </w:p>
    <w:p>
      <w:pPr>
        <w:pStyle w:val="ListParagraph"/>
        <w:numPr>
          <w:ilvl w:val="0"/>
          <w:numId w:val="2"/>
        </w:numPr>
        <w:spacing w:after="40" w:before="40"/>
      </w:pPr>
      <w:r>
        <w:rPr>
          <w:rFonts w:ascii="Calibri" w:cs="Calibri" w:eastAsia="Calibri" w:hAnsi="Calibri"/>
          <w:color w:val="222222"/>
          <w:sz w:val="22"/>
          <w:szCs w:val="22"/>
        </w:rPr>
        <w:t xml:space="preserve">Right-to-audit clause and annual cyber attestation for Tier 1 suppliers.</w:t>
      </w:r>
    </w:p>
    <w:p>
      <w:pPr>
        <w:pStyle w:val="Heading1"/>
        <w:pBdr>
          <w:bottom w:val="single" w:color="1F3864" w:sz="18" w:space="4"/>
        </w:pBdr>
        <w:spacing w:after="160" w:before="320"/>
      </w:pPr>
      <w:r>
        <w:rPr>
          <w:rFonts w:ascii="Calibri" w:cs="Calibri" w:eastAsia="Calibri" w:hAnsi="Calibri"/>
          <w:b/>
          <w:bCs/>
          <w:color w:val="1F3864"/>
          <w:sz w:val="30"/>
          <w:szCs w:val="30"/>
        </w:rPr>
        <w:t xml:space="preserve">5. Internal Controls</w:t>
      </w:r>
    </w:p>
    <w:p>
      <w:pPr>
        <w:pStyle w:val="ListParagraph"/>
        <w:numPr>
          <w:ilvl w:val="0"/>
          <w:numId w:val="2"/>
        </w:numPr>
        <w:spacing w:after="40" w:before="40"/>
      </w:pPr>
      <w:r>
        <w:rPr>
          <w:rFonts w:ascii="Calibri" w:cs="Calibri" w:eastAsia="Calibri" w:hAnsi="Calibri"/>
          <w:color w:val="222222"/>
          <w:sz w:val="22"/>
          <w:szCs w:val="22"/>
        </w:rPr>
        <w:t xml:space="preserve">Oracle access granted on least-privilege basis and reviewed quarterly.</w:t>
      </w:r>
    </w:p>
    <w:p>
      <w:pPr>
        <w:pStyle w:val="ListParagraph"/>
        <w:numPr>
          <w:ilvl w:val="0"/>
          <w:numId w:val="2"/>
        </w:numPr>
        <w:spacing w:after="40" w:before="40"/>
      </w:pPr>
      <w:r>
        <w:rPr>
          <w:rFonts w:ascii="Calibri" w:cs="Calibri" w:eastAsia="Calibri" w:hAnsi="Calibri"/>
          <w:color w:val="222222"/>
          <w:sz w:val="22"/>
          <w:szCs w:val="22"/>
        </w:rPr>
        <w:t xml:space="preserve">All tender and contract data classified per the Group Data Classification Scheme.</w:t>
      </w:r>
    </w:p>
    <w:p>
      <w:pPr>
        <w:pStyle w:val="ListParagraph"/>
        <w:numPr>
          <w:ilvl w:val="0"/>
          <w:numId w:val="2"/>
        </w:numPr>
        <w:spacing w:after="40" w:before="40"/>
      </w:pPr>
      <w:r>
        <w:rPr>
          <w:rFonts w:ascii="Calibri" w:cs="Calibri" w:eastAsia="Calibri" w:hAnsi="Calibri"/>
          <w:color w:val="222222"/>
          <w:sz w:val="22"/>
          <w:szCs w:val="22"/>
        </w:rPr>
        <w:t xml:space="preserve">Mandatory cyber-awareness training for all procurement staff.</w:t>
      </w:r>
    </w:p>
    <w:p>
      <w:pPr>
        <w:pStyle w:val="ListParagraph"/>
        <w:numPr>
          <w:ilvl w:val="0"/>
          <w:numId w:val="2"/>
        </w:numPr>
        <w:spacing w:after="40" w:before="40"/>
      </w:pPr>
      <w:r>
        <w:rPr>
          <w:rFonts w:ascii="Calibri" w:cs="Calibri" w:eastAsia="Calibri" w:hAnsi="Calibri"/>
          <w:color w:val="222222"/>
          <w:sz w:val="22"/>
          <w:szCs w:val="22"/>
        </w:rPr>
        <w:t xml:space="preserve">Phishing simulation tests run quarterly by IT Security.</w:t>
      </w:r>
    </w:p>
    <w:p>
      <w:pPr>
        <w:pStyle w:val="Heading1"/>
        <w:pBdr>
          <w:bottom w:val="single" w:color="1F3864" w:sz="18" w:space="4"/>
        </w:pBdr>
        <w:spacing w:after="160" w:before="320"/>
      </w:pPr>
      <w:r>
        <w:rPr>
          <w:rFonts w:ascii="Calibri" w:cs="Calibri" w:eastAsia="Calibri" w:hAnsi="Calibri"/>
          <w:b/>
          <w:bCs/>
          <w:color w:val="1F3864"/>
          <w:sz w:val="30"/>
          <w:szCs w:val="30"/>
        </w:rPr>
        <w:t xml:space="preserve">6. Incident Management</w:t>
      </w:r>
    </w:p>
    <w:p>
      <w:pPr>
        <w:spacing w:after="60" w:before="60" w:line="290"/>
        <w:jc w:val="both"/>
      </w:pPr>
      <w:r>
        <w:rPr>
          <w:rFonts w:ascii="Calibri" w:cs="Calibri" w:eastAsia="Calibri" w:hAnsi="Calibri"/>
          <w:color w:val="222222"/>
          <w:sz w:val="22"/>
          <w:szCs w:val="22"/>
        </w:rPr>
        <w:t xml:space="preserve">Suspected cyber incidents affecting procurement data shall be reported immediately to IT Security, Compliance and the Head of Supply Chain. A joint root-cause review is mandatory.</w:t>
      </w:r>
    </w:p>
    <w:p>
      <w:pPr>
        <w:pStyle w:val="Heading1"/>
        <w:pBdr>
          <w:bottom w:val="single" w:color="1F3864" w:sz="18" w:space="4"/>
        </w:pBdr>
        <w:spacing w:after="160" w:before="320"/>
      </w:pPr>
      <w:r>
        <w:rPr>
          <w:rFonts w:ascii="Calibri" w:cs="Calibri" w:eastAsia="Calibri" w:hAnsi="Calibri"/>
          <w:b/>
          <w:bCs/>
          <w:color w:val="1F3864"/>
          <w:sz w:val="30"/>
          <w:szCs w:val="30"/>
        </w:rPr>
        <w:t xml:space="preserve">7. Reference Form</w:t>
      </w:r>
    </w:p>
    <w:p>
      <w:pPr>
        <w:spacing w:after="60" w:before="60" w:line="290"/>
        <w:jc w:val="both"/>
      </w:pPr>
      <w:r>
        <w:rPr>
          <w:rFonts w:ascii="Calibri" w:cs="Calibri" w:eastAsia="Calibri" w:hAnsi="Calibri"/>
          <w:color w:val="222222"/>
          <w:sz w:val="22"/>
          <w:szCs w:val="22"/>
        </w:rPr>
        <w:t xml:space="preserve">Form F-CYB-01 — Supplier Cyber-Security Self-Assessment.</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DLP</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Data Loss Prevention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ERP</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GDPR</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General Data Protection Regulation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ICT</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Information and Communications Technology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NDA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Non-Disclosure Agreement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P-POL-017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Data Protection &amp; Cyber Security</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Data Protection &amp; Cyber Security - P-POL-017</dc:title>
  <dc:creator>Bukhatir Group - Group Supply Chain</dc:creator>
  <cp:lastModifiedBy>Un-named</cp:lastModifiedBy>
  <cp:revision>1</cp:revision>
  <dcterms:created xsi:type="dcterms:W3CDTF">2026-04-13T04:45:55.768Z</dcterms:created>
  <dcterms:modified xsi:type="dcterms:W3CDTF">2026-04-13T04:45:55.768Z</dcterms:modified>
</cp:coreProperties>
</file>

<file path=docProps/custom.xml><?xml version="1.0" encoding="utf-8"?>
<Properties xmlns="http://schemas.openxmlformats.org/officeDocument/2006/custom-properties" xmlns:vt="http://schemas.openxmlformats.org/officeDocument/2006/docPropsVTypes"/>
</file>