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Risk Management in Procurement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Risk Management in Procurement</w:t>
      </w:r>
    </w:p>
    <w:p>
      <w:pPr>
        <w:spacing w:after="400"/>
        <w:jc w:val="center"/>
      </w:pPr>
      <w:r>
        <w:rPr>
          <w:rFonts w:ascii="Calibri" w:cs="Calibri" w:eastAsia="Calibri" w:hAnsi="Calibri"/>
          <w:i/>
          <w:iCs/>
          <w:color w:val="6B7280"/>
          <w:sz w:val="24"/>
          <w:szCs w:val="24"/>
        </w:rPr>
        <w:t xml:space="preserve">Assessment, Mitigation &amp; Register</w:t>
      </w:r>
    </w:p>
    <w:p>
      <w:pPr>
        <w:spacing w:after="600" w:before="600"/>
      </w:pPr>
      <w:r>
        <w:t xml:space="preserve"/>
      </w:r>
    </w:p>
    <w:p>
      <w:pPr>
        <w:jc w:val="center"/>
      </w:pPr>
      <w:r>
        <w:rPr>
          <w:rFonts w:ascii="Calibri" w:cs="Calibri" w:eastAsia="Calibri" w:hAnsi="Calibri"/>
          <w:b/>
          <w:bCs/>
          <w:color w:val="1F3864"/>
          <w:sz w:val="28"/>
          <w:szCs w:val="28"/>
        </w:rPr>
        <w:t xml:space="preserve">Document No: P-POL-016</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Risk Management in Procurement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Risk Management in Procurement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establishes a structured approach to identifying, assessing, treating and monitoring risk across procurement and supply chain activities.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sourcing events, supplier relationships, contracts and supply chain operations across the Group.</w:t>
      </w:r>
    </w:p>
    <w:p>
      <w:pPr>
        <w:pStyle w:val="Heading1"/>
        <w:pBdr>
          <w:bottom w:val="single" w:color="1F3864" w:sz="18" w:space="4"/>
        </w:pBdr>
        <w:spacing w:after="160" w:before="320"/>
      </w:pPr>
      <w:r>
        <w:rPr>
          <w:rFonts w:ascii="Calibri" w:cs="Calibri" w:eastAsia="Calibri" w:hAnsi="Calibri"/>
          <w:b/>
          <w:bCs/>
          <w:color w:val="1F3864"/>
          <w:sz w:val="30"/>
          <w:szCs w:val="30"/>
        </w:rPr>
        <w:t xml:space="preserve">3. Risk Categories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Category</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Examples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Supply</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Single-source dependency, supplier insolvency, capacity shortfall</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Demand</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Forecast volatility, project cancellations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Price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Commodity volatility, FX exposure, inflation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Quality</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Defects, recalls, non-conformance</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Compliance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Sanctions, anti-bribery, labour law, data protection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Geopolitical</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Border closures, sanctions, trade restrictions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Cyber</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breach, ransomware affecting ERP integrations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ESG</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Climate, human rights, environmental incidents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Risk Assessment</w:t>
      </w:r>
    </w:p>
    <w:p>
      <w:pPr>
        <w:spacing w:after="60" w:before="60" w:line="290"/>
        <w:jc w:val="both"/>
      </w:pPr>
      <w:r>
        <w:rPr>
          <w:rFonts w:ascii="Calibri" w:cs="Calibri" w:eastAsia="Calibri" w:hAnsi="Calibri"/>
          <w:color w:val="222222"/>
          <w:sz w:val="22"/>
          <w:szCs w:val="22"/>
        </w:rPr>
        <w:t xml:space="preserve">A documented risk assessment is required for all orders and contracts above AED 500,000. The assessment rates likelihood (1–5) and impact (1–5). The resulting risk score drives mitigation requirements. BU Procurement shall share signed risk assessment forms with GSC in a timely manner.</w:t>
      </w:r>
    </w:p>
    <w:p>
      <w:pPr>
        <w:pStyle w:val="Heading1"/>
        <w:pBdr>
          <w:bottom w:val="single" w:color="1F3864" w:sz="18" w:space="4"/>
        </w:pBdr>
        <w:spacing w:after="160" w:before="320"/>
      </w:pPr>
      <w:r>
        <w:rPr>
          <w:rFonts w:ascii="Calibri" w:cs="Calibri" w:eastAsia="Calibri" w:hAnsi="Calibri"/>
          <w:b/>
          <w:bCs/>
          <w:color w:val="1F3864"/>
          <w:sz w:val="30"/>
          <w:szCs w:val="30"/>
        </w:rPr>
        <w:t xml:space="preserve">5. Mitigation Strategies</w:t>
      </w:r>
    </w:p>
    <w:p>
      <w:pPr>
        <w:pStyle w:val="ListParagraph"/>
        <w:numPr>
          <w:ilvl w:val="0"/>
          <w:numId w:val="2"/>
        </w:numPr>
        <w:spacing w:after="40" w:before="40"/>
      </w:pPr>
      <w:r>
        <w:rPr>
          <w:rFonts w:ascii="Calibri" w:cs="Calibri" w:eastAsia="Calibri" w:hAnsi="Calibri"/>
          <w:color w:val="222222"/>
          <w:sz w:val="22"/>
          <w:szCs w:val="22"/>
        </w:rPr>
        <w:t xml:space="preserve">Dual-sourcing or multi-sourcing for critical categories.</w:t>
      </w:r>
    </w:p>
    <w:p>
      <w:pPr>
        <w:pStyle w:val="ListParagraph"/>
        <w:numPr>
          <w:ilvl w:val="0"/>
          <w:numId w:val="2"/>
        </w:numPr>
        <w:spacing w:after="40" w:before="40"/>
      </w:pPr>
      <w:r>
        <w:rPr>
          <w:rFonts w:ascii="Calibri" w:cs="Calibri" w:eastAsia="Calibri" w:hAnsi="Calibri"/>
          <w:color w:val="222222"/>
          <w:sz w:val="22"/>
          <w:szCs w:val="22"/>
        </w:rPr>
        <w:t xml:space="preserve">Safety stock and buffer inventory for high-risk items.</w:t>
      </w:r>
    </w:p>
    <w:p>
      <w:pPr>
        <w:pStyle w:val="ListParagraph"/>
        <w:numPr>
          <w:ilvl w:val="0"/>
          <w:numId w:val="2"/>
        </w:numPr>
        <w:spacing w:after="40" w:before="40"/>
      </w:pPr>
      <w:r>
        <w:rPr>
          <w:rFonts w:ascii="Calibri" w:cs="Calibri" w:eastAsia="Calibri" w:hAnsi="Calibri"/>
          <w:color w:val="222222"/>
          <w:sz w:val="22"/>
          <w:szCs w:val="22"/>
        </w:rPr>
        <w:t xml:space="preserve">Long-term framework agreements with price escalation clauses.</w:t>
      </w:r>
    </w:p>
    <w:p>
      <w:pPr>
        <w:pStyle w:val="ListParagraph"/>
        <w:numPr>
          <w:ilvl w:val="0"/>
          <w:numId w:val="2"/>
        </w:numPr>
        <w:spacing w:after="40" w:before="40"/>
      </w:pPr>
      <w:r>
        <w:rPr>
          <w:rFonts w:ascii="Calibri" w:cs="Calibri" w:eastAsia="Calibri" w:hAnsi="Calibri"/>
          <w:color w:val="222222"/>
          <w:sz w:val="22"/>
          <w:szCs w:val="22"/>
        </w:rPr>
        <w:t xml:space="preserve">Performance bonds, parent company guarantees, advance payment guarantees.</w:t>
      </w:r>
    </w:p>
    <w:p>
      <w:pPr>
        <w:pStyle w:val="ListParagraph"/>
        <w:numPr>
          <w:ilvl w:val="0"/>
          <w:numId w:val="2"/>
        </w:numPr>
        <w:spacing w:after="40" w:before="40"/>
      </w:pPr>
      <w:r>
        <w:rPr>
          <w:rFonts w:ascii="Calibri" w:cs="Calibri" w:eastAsia="Calibri" w:hAnsi="Calibri"/>
          <w:color w:val="222222"/>
          <w:sz w:val="22"/>
          <w:szCs w:val="22"/>
        </w:rPr>
        <w:t xml:space="preserve">Business continuity clauses and supplier BCM plans for Tier 1.</w:t>
      </w:r>
    </w:p>
    <w:p>
      <w:pPr>
        <w:pStyle w:val="ListParagraph"/>
        <w:numPr>
          <w:ilvl w:val="0"/>
          <w:numId w:val="2"/>
        </w:numPr>
        <w:spacing w:after="40" w:before="40"/>
      </w:pPr>
      <w:r>
        <w:rPr>
          <w:rFonts w:ascii="Calibri" w:cs="Calibri" w:eastAsia="Calibri" w:hAnsi="Calibri"/>
          <w:color w:val="222222"/>
          <w:sz w:val="22"/>
          <w:szCs w:val="22"/>
        </w:rPr>
        <w:t xml:space="preserve">Cyber due diligence for all suppliers handling Group data.</w:t>
      </w:r>
    </w:p>
    <w:p>
      <w:pPr>
        <w:pStyle w:val="Heading1"/>
        <w:pBdr>
          <w:bottom w:val="single" w:color="1F3864" w:sz="18" w:space="4"/>
        </w:pBdr>
        <w:spacing w:after="160" w:before="320"/>
      </w:pPr>
      <w:r>
        <w:rPr>
          <w:rFonts w:ascii="Calibri" w:cs="Calibri" w:eastAsia="Calibri" w:hAnsi="Calibri"/>
          <w:b/>
          <w:bCs/>
          <w:color w:val="1F3864"/>
          <w:sz w:val="30"/>
          <w:szCs w:val="30"/>
        </w:rPr>
        <w:t xml:space="preserve">6. Risk Register</w:t>
      </w:r>
    </w:p>
    <w:p>
      <w:pPr>
        <w:spacing w:after="60" w:before="60" w:line="290"/>
        <w:jc w:val="both"/>
      </w:pPr>
      <w:r>
        <w:rPr>
          <w:rFonts w:ascii="Calibri" w:cs="Calibri" w:eastAsia="Calibri" w:hAnsi="Calibri"/>
          <w:color w:val="222222"/>
          <w:sz w:val="22"/>
          <w:szCs w:val="22"/>
        </w:rPr>
        <w:t xml:space="preserve">GSC maintains a Procurement Risk Register, reviewed monthly and escalated to the GSC–BU Steering Committee quarterly.</w:t>
      </w:r>
    </w:p>
    <w:p>
      <w:pPr>
        <w:pStyle w:val="Heading1"/>
        <w:pBdr>
          <w:bottom w:val="single" w:color="1F3864" w:sz="18" w:space="4"/>
        </w:pBdr>
        <w:spacing w:after="160" w:before="320"/>
      </w:pPr>
      <w:r>
        <w:rPr>
          <w:rFonts w:ascii="Calibri" w:cs="Calibri" w:eastAsia="Calibri" w:hAnsi="Calibri"/>
          <w:b/>
          <w:bCs/>
          <w:color w:val="1F3864"/>
          <w:sz w:val="30"/>
          <w:szCs w:val="30"/>
        </w:rPr>
        <w:t xml:space="preserve">7. Reference Form</w:t>
      </w:r>
    </w:p>
    <w:p>
      <w:pPr>
        <w:spacing w:after="60" w:before="60" w:line="290"/>
        <w:jc w:val="both"/>
      </w:pPr>
      <w:r>
        <w:rPr>
          <w:rFonts w:ascii="Calibri" w:cs="Calibri" w:eastAsia="Calibri" w:hAnsi="Calibri"/>
          <w:color w:val="222222"/>
          <w:sz w:val="22"/>
          <w:szCs w:val="22"/>
        </w:rPr>
        <w:t xml:space="preserve">Form F-RSK-01 — Procurement Risk Assessment Form.</w:t>
      </w:r>
    </w:p>
    <w:p>
      <w:pPr>
        <w:pStyle w:val="Heading1"/>
        <w:pBdr>
          <w:bottom w:val="single" w:color="1F3864" w:sz="18" w:space="4"/>
        </w:pBdr>
        <w:spacing w:after="160" w:before="320"/>
      </w:pPr>
      <w:r>
        <w:rPr>
          <w:rFonts w:ascii="Calibri" w:cs="Calibri" w:eastAsia="Calibri" w:hAnsi="Calibri"/>
          <w:b/>
          <w:bCs/>
          <w:color w:val="1F3864"/>
          <w:sz w:val="30"/>
          <w:szCs w:val="30"/>
        </w:rPr>
        <w:t xml:space="preserve">8.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TCO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Total Cost of Ownership</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P-POL-016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Risk Management in Procurement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Risk Management in Procurement - P-POL-016</dc:title>
  <dc:creator>Bukhatir Group - Group Supply Chain</dc:creator>
  <cp:lastModifiedBy>Un-named</cp:lastModifiedBy>
  <cp:revision>1</cp:revision>
  <dcterms:created xsi:type="dcterms:W3CDTF">2026-04-13T04:45:55.758Z</dcterms:created>
  <dcterms:modified xsi:type="dcterms:W3CDTF">2026-04-13T04:45:55.758Z</dcterms:modified>
</cp:coreProperties>
</file>

<file path=docProps/custom.xml><?xml version="1.0" encoding="utf-8"?>
<Properties xmlns="http://schemas.openxmlformats.org/officeDocument/2006/custom-properties" xmlns:vt="http://schemas.openxmlformats.org/officeDocument/2006/docPropsVTypes"/>
</file>