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P-POL-015</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Delegation of Authority</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Delegation of Authority</w:t>
      </w:r>
    </w:p>
    <w:p>
      <w:pPr>
        <w:spacing w:after="400"/>
        <w:jc w:val="center"/>
      </w:pPr>
      <w:r>
        <w:rPr>
          <w:rFonts w:ascii="Calibri" w:cs="Calibri" w:eastAsia="Calibri" w:hAnsi="Calibri"/>
          <w:i/>
          <w:iCs/>
          <w:color w:val="6B7280"/>
          <w:sz w:val="24"/>
          <w:szCs w:val="24"/>
        </w:rPr>
        <w:t xml:space="preserve">Procurement Approval Matrix</w:t>
      </w:r>
    </w:p>
    <w:p>
      <w:pPr>
        <w:spacing w:after="600" w:before="600"/>
      </w:pPr>
      <w:r>
        <w:t xml:space="preserve"/>
      </w:r>
    </w:p>
    <w:p>
      <w:pPr>
        <w:jc w:val="center"/>
      </w:pPr>
      <w:r>
        <w:rPr>
          <w:rFonts w:ascii="Calibri" w:cs="Calibri" w:eastAsia="Calibri" w:hAnsi="Calibri"/>
          <w:b/>
          <w:bCs/>
          <w:color w:val="1F3864"/>
          <w:sz w:val="28"/>
          <w:szCs w:val="28"/>
        </w:rPr>
        <w:t xml:space="preserve">Document No: P-POL-015</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Delegation of Authority</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Delegation of Authority</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defines the Delegation of Authority (DOA) matrix for procurement and supply chain transactions across Bukhatir Group. It establishes clear financial limits and decision rights for each role.</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procurement commitments including PRs, POs, contracts, LOIs, framework agreements, amendments and write-offs.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Authority Matrix</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600"/>
        <w:gridCol w:w="3360"/>
      </w:tblGrid>
      <w:tr>
        <w:trPr>
          <w:tblHeader/>
        </w:trPr>
        <w:tc>
          <w:tcPr>
            <w:tcW w:type="dxa" w:w="2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Value Band (AED)</w:t>
            </w:r>
          </w:p>
        </w:tc>
        <w:tc>
          <w:tcPr>
            <w:tcW w:type="dxa" w:w="3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Authority to Approve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Joint Approval Required</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50,000</w:t>
            </w:r>
          </w:p>
        </w:tc>
        <w:tc>
          <w:tcPr>
            <w:tcW w:type="dxa" w:w="3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Department Head</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50,001 – 250,000</w:t>
            </w:r>
          </w:p>
        </w:tc>
        <w:tc>
          <w:tcPr>
            <w:tcW w:type="dxa" w:w="3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Head</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250,001 – 1,000,000</w:t>
            </w:r>
          </w:p>
        </w:tc>
        <w:tc>
          <w:tcPr>
            <w:tcW w:type="dxa" w:w="3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Head of Supply Chain + BUH</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 informed</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1,000,001 – 5,000,000</w:t>
            </w:r>
          </w:p>
        </w:tc>
        <w:tc>
          <w:tcPr>
            <w:tcW w:type="dxa" w:w="3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 + BUH</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CEO informed</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5,000,001 – 20,000,000</w:t>
            </w:r>
          </w:p>
        </w:tc>
        <w:tc>
          <w:tcPr>
            <w:tcW w:type="dxa" w:w="3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CEO</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&gt; 20,000,000</w:t>
            </w:r>
          </w:p>
        </w:tc>
        <w:tc>
          <w:tcPr>
            <w:tcW w:type="dxa" w:w="3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Board of Directors</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CEO + CFO</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Special Categories</w:t>
      </w:r>
    </w:p>
    <w:p>
      <w:pPr>
        <w:pStyle w:val="ListParagraph"/>
        <w:numPr>
          <w:ilvl w:val="0"/>
          <w:numId w:val="2"/>
        </w:numPr>
        <w:spacing w:after="40" w:before="40"/>
      </w:pPr>
      <w:r>
        <w:rPr>
          <w:rFonts w:ascii="Calibri" w:cs="Calibri" w:eastAsia="Calibri" w:hAnsi="Calibri"/>
          <w:color w:val="222222"/>
          <w:sz w:val="22"/>
          <w:szCs w:val="22"/>
        </w:rPr>
        <w:t xml:space="preserve">CAPEX: authority scaled one band higher than OPEX.</w:t>
      </w:r>
    </w:p>
    <w:p>
      <w:pPr>
        <w:pStyle w:val="ListParagraph"/>
        <w:numPr>
          <w:ilvl w:val="0"/>
          <w:numId w:val="2"/>
        </w:numPr>
        <w:spacing w:after="40" w:before="40"/>
      </w:pPr>
      <w:r>
        <w:rPr>
          <w:rFonts w:ascii="Calibri" w:cs="Calibri" w:eastAsia="Calibri" w:hAnsi="Calibri"/>
          <w:color w:val="222222"/>
          <w:sz w:val="22"/>
          <w:szCs w:val="22"/>
        </w:rPr>
        <w:t xml:space="preserve">Emergency PRs: BUH approves post-facto regardless of value, with CFO ratification above AED 250K.</w:t>
      </w:r>
    </w:p>
    <w:p>
      <w:pPr>
        <w:pStyle w:val="ListParagraph"/>
        <w:numPr>
          <w:ilvl w:val="0"/>
          <w:numId w:val="2"/>
        </w:numPr>
        <w:spacing w:after="40" w:before="40"/>
      </w:pPr>
      <w:r>
        <w:rPr>
          <w:rFonts w:ascii="Calibri" w:cs="Calibri" w:eastAsia="Calibri" w:hAnsi="Calibri"/>
          <w:color w:val="222222"/>
          <w:sz w:val="22"/>
          <w:szCs w:val="22"/>
        </w:rPr>
        <w:t xml:space="preserve">Sole-source / single-tender: CFO approval regardless of value, plus documented justification.</w:t>
      </w:r>
    </w:p>
    <w:p>
      <w:pPr>
        <w:pStyle w:val="ListParagraph"/>
        <w:numPr>
          <w:ilvl w:val="0"/>
          <w:numId w:val="2"/>
        </w:numPr>
        <w:spacing w:after="40" w:before="40"/>
      </w:pPr>
      <w:r>
        <w:rPr>
          <w:rFonts w:ascii="Calibri" w:cs="Calibri" w:eastAsia="Calibri" w:hAnsi="Calibri"/>
          <w:color w:val="222222"/>
          <w:sz w:val="22"/>
          <w:szCs w:val="22"/>
        </w:rPr>
        <w:t xml:space="preserve">Contract amendments: same authority level as the original contract.</w:t>
      </w:r>
    </w:p>
    <w:p>
      <w:pPr>
        <w:pStyle w:val="Heading1"/>
        <w:pBdr>
          <w:bottom w:val="single" w:color="1F3864" w:sz="18" w:space="4"/>
        </w:pBdr>
        <w:spacing w:after="160" w:before="320"/>
      </w:pPr>
      <w:r>
        <w:rPr>
          <w:rFonts w:ascii="Calibri" w:cs="Calibri" w:eastAsia="Calibri" w:hAnsi="Calibri"/>
          <w:b/>
          <w:bCs/>
          <w:color w:val="1F3864"/>
          <w:sz w:val="30"/>
          <w:szCs w:val="30"/>
        </w:rPr>
        <w:t xml:space="preserve">5. Segregation of Duties</w:t>
      </w:r>
    </w:p>
    <w:p>
      <w:pPr>
        <w:spacing w:after="60" w:before="60" w:line="290"/>
        <w:jc w:val="both"/>
      </w:pPr>
      <w:r>
        <w:rPr>
          <w:rFonts w:ascii="Calibri" w:cs="Calibri" w:eastAsia="Calibri" w:hAnsi="Calibri"/>
          <w:color w:val="222222"/>
          <w:sz w:val="22"/>
          <w:szCs w:val="22"/>
        </w:rPr>
        <w:t xml:space="preserve">The individual raising a PR shall not approve it. The PO issuer shall not also perform GRN. Approvers shall not be in the direct reporting line of the requestor for transactions above AED 1,000,000.</w:t>
      </w:r>
    </w:p>
    <w:p>
      <w:pPr>
        <w:pStyle w:val="Heading1"/>
        <w:pBdr>
          <w:bottom w:val="single" w:color="1F3864" w:sz="18" w:space="4"/>
        </w:pBdr>
        <w:spacing w:after="160" w:before="320"/>
      </w:pPr>
      <w:r>
        <w:rPr>
          <w:rFonts w:ascii="Calibri" w:cs="Calibri" w:eastAsia="Calibri" w:hAnsi="Calibri"/>
          <w:b/>
          <w:bCs/>
          <w:color w:val="1F3864"/>
          <w:sz w:val="30"/>
          <w:szCs w:val="30"/>
        </w:rPr>
        <w:t xml:space="preserve">6. Delegation During Absence</w:t>
      </w:r>
    </w:p>
    <w:p>
      <w:pPr>
        <w:spacing w:after="60" w:before="60" w:line="290"/>
        <w:jc w:val="both"/>
      </w:pPr>
      <w:r>
        <w:rPr>
          <w:rFonts w:ascii="Calibri" w:cs="Calibri" w:eastAsia="Calibri" w:hAnsi="Calibri"/>
          <w:color w:val="222222"/>
          <w:sz w:val="22"/>
          <w:szCs w:val="22"/>
        </w:rPr>
        <w:t xml:space="preserve">Temporary delegations shall be documented in writing, time-bounded and configured in Oracle. Delegation does not transfer accountability.</w:t>
      </w:r>
    </w:p>
    <w:p>
      <w:pPr>
        <w:pStyle w:val="Heading1"/>
        <w:pBdr>
          <w:bottom w:val="single" w:color="1F3864" w:sz="18" w:space="4"/>
        </w:pBdr>
        <w:spacing w:after="160" w:before="320"/>
      </w:pPr>
      <w:r>
        <w:rPr>
          <w:rFonts w:ascii="Calibri" w:cs="Calibri" w:eastAsia="Calibri" w:hAnsi="Calibri"/>
          <w:b/>
          <w:bCs/>
          <w:color w:val="1F3864"/>
          <w:sz w:val="30"/>
          <w:szCs w:val="30"/>
        </w:rPr>
        <w:t xml:space="preserve">7. Non-Compliance</w:t>
      </w:r>
    </w:p>
    <w:p>
      <w:pPr>
        <w:spacing w:after="60" w:before="60" w:line="290"/>
        <w:jc w:val="both"/>
      </w:pPr>
      <w:r>
        <w:rPr>
          <w:rFonts w:ascii="Calibri" w:cs="Calibri" w:eastAsia="Calibri" w:hAnsi="Calibri"/>
          <w:color w:val="222222"/>
          <w:sz w:val="22"/>
          <w:szCs w:val="22"/>
        </w:rPr>
        <w:t xml:space="preserve">Any transaction executed outside the DOA is treated as unauthorised expenditure and is subject to disciplinary action and CFO review.</w:t>
      </w:r>
    </w:p>
    <w:p>
      <w:pPr>
        <w:pStyle w:val="Heading1"/>
        <w:pBdr>
          <w:bottom w:val="single" w:color="1F3864" w:sz="18" w:space="4"/>
        </w:pBdr>
        <w:spacing w:after="160" w:before="320"/>
      </w:pPr>
      <w:r>
        <w:rPr>
          <w:rFonts w:ascii="Calibri" w:cs="Calibri" w:eastAsia="Calibri" w:hAnsi="Calibri"/>
          <w:b/>
          <w:bCs/>
          <w:color w:val="1F3864"/>
          <w:sz w:val="30"/>
          <w:szCs w:val="30"/>
        </w:rPr>
        <w:t xml:space="preserve">8.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CAPEX</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Capital Expenditure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Chief Executive Officer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Chief Financial Officer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Letter of Intent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OPEX</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Operating Expenditure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Requisition</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P-POL-015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Delegation of Authority</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Delegation of Authority - P-POL-015</dc:title>
  <dc:creator>Bukhatir Group - Group Supply Chain</dc:creator>
  <cp:lastModifiedBy>Un-named</cp:lastModifiedBy>
  <cp:revision>1</cp:revision>
  <dcterms:created xsi:type="dcterms:W3CDTF">2026-04-13T04:45:55.749Z</dcterms:created>
  <dcterms:modified xsi:type="dcterms:W3CDTF">2026-04-13T04:45:55.749Z</dcterms:modified>
</cp:coreProperties>
</file>

<file path=docProps/custom.xml><?xml version="1.0" encoding="utf-8"?>
<Properties xmlns="http://schemas.openxmlformats.org/officeDocument/2006/custom-properties" xmlns:vt="http://schemas.openxmlformats.org/officeDocument/2006/docPropsVTypes"/>
</file>