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endnotes+xml" PartName="/word/end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Override ContentType="application/vnd.openxmlformats-officedocument.wordprocessingml.footer+xml" PartName="/word/foot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600"/>
        <w:gridCol w:w="2600"/>
        <w:gridCol w:w="4160"/>
      </w:tblGrid>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Policy &amp; Procedure</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Document No.</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bCs/>
                <w:color w:val="222222"/>
                <w:sz w:val="20"/>
                <w:szCs w:val="20"/>
              </w:rPr>
              <w:t xml:space="preserve">P-POL-014</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Group Supply Chain</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 | Rev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 | 08 APR 2026</w:t>
            </w:r>
          </w:p>
        </w:tc>
      </w:tr>
      <w:tr>
        <w:tc>
          <w:tcPr>
            <w:tcW w:type="dxa" w:w="2600"/>
            <w:tcBorders>
              <w:top w:val="single" w:color="BFBFBF" w:sz="4"/>
              <w:left w:val="single" w:color="BFBFBF" w:sz="4"/>
              <w:bottom w:val="single" w:color="BFBFBF" w:sz="4"/>
              <w:right w:val="single" w:color="BFBFBF" w:sz="4"/>
            </w:tcBorders>
            <w:shd w:fill="2E75B6"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Title: Contract Management</w:t>
            </w:r>
          </w:p>
        </w:tc>
        <w:tc>
          <w:tcPr>
            <w:tcW w:type="dxa" w:w="2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4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r>
    </w:tbl>
    <w:p>
      <w:pPr>
        <w:spacing w:after="300" w:before="300"/>
      </w:pPr>
      <w:r>
        <w:t xml:space="preserve"/>
      </w:r>
    </w:p>
    <w:p>
      <w:pPr>
        <w:shd w:fill="1F3864" w:val="clear"/>
        <w:spacing w:after="100" w:before="200"/>
        <w:jc w:val="center"/>
      </w:pPr>
      <w:r>
        <w:rPr>
          <w:rFonts w:ascii="Calibri" w:cs="Calibri" w:eastAsia="Calibri" w:hAnsi="Calibri"/>
          <w:b/>
          <w:bCs/>
          <w:color w:val="FFFFFF"/>
          <w:sz w:val="44"/>
          <w:szCs w:val="44"/>
        </w:rPr>
        <w:t xml:space="preserve">BUKHATIR GROUP</w:t>
      </w:r>
    </w:p>
    <w:p>
      <w:pPr>
        <w:shd w:fill="2E75B6" w:val="clear"/>
        <w:spacing w:after="100" w:before="0"/>
        <w:jc w:val="center"/>
      </w:pPr>
      <w:r>
        <w:rPr>
          <w:rFonts w:ascii="Calibri" w:cs="Calibri" w:eastAsia="Calibri" w:hAnsi="Calibri"/>
          <w:i/>
          <w:iCs/>
          <w:color w:val="FFFFFF"/>
          <w:sz w:val="26"/>
          <w:szCs w:val="26"/>
        </w:rPr>
        <w:t xml:space="preserve">Strength through Diversity</w:t>
      </w:r>
    </w:p>
    <w:p>
      <w:pPr>
        <w:spacing w:after="400" w:before="400"/>
      </w:pPr>
      <w:r>
        <w:t xml:space="preserve"/>
      </w:r>
    </w:p>
    <w:p>
      <w:pPr>
        <w:spacing w:after="100" w:before="400"/>
        <w:jc w:val="center"/>
      </w:pPr>
      <w:r>
        <w:rPr>
          <w:rFonts w:ascii="Calibri" w:cs="Calibri" w:eastAsia="Calibri" w:hAnsi="Calibri"/>
          <w:b/>
          <w:bCs/>
          <w:color w:val="1F3864"/>
          <w:sz w:val="40"/>
          <w:szCs w:val="40"/>
        </w:rPr>
        <w:t xml:space="preserve">Group Policy and Procedure</w:t>
      </w:r>
    </w:p>
    <w:p>
      <w:pPr>
        <w:spacing w:after="600"/>
        <w:jc w:val="center"/>
      </w:pPr>
      <w:r>
        <w:rPr>
          <w:rFonts w:ascii="Calibri" w:cs="Calibri" w:eastAsia="Calibri" w:hAnsi="Calibri"/>
          <w:color w:val="2E75B6"/>
          <w:sz w:val="30"/>
          <w:szCs w:val="30"/>
        </w:rPr>
        <w:t xml:space="preserve">Group Supply Chain (GSC)</w:t>
      </w:r>
    </w:p>
    <w:p>
      <w:pPr>
        <w:spacing w:after="200"/>
        <w:jc w:val="center"/>
      </w:pPr>
      <w:r>
        <w:rPr>
          <w:rFonts w:ascii="Calibri" w:cs="Calibri" w:eastAsia="Calibri" w:hAnsi="Calibri"/>
          <w:b/>
          <w:bCs/>
          <w:color w:val="1F3864"/>
          <w:sz w:val="44"/>
          <w:szCs w:val="44"/>
        </w:rPr>
        <w:t xml:space="preserve">Contract Management</w:t>
      </w:r>
    </w:p>
    <w:p>
      <w:pPr>
        <w:spacing w:after="400"/>
        <w:jc w:val="center"/>
      </w:pPr>
      <w:r>
        <w:rPr>
          <w:rFonts w:ascii="Calibri" w:cs="Calibri" w:eastAsia="Calibri" w:hAnsi="Calibri"/>
          <w:i/>
          <w:iCs/>
          <w:color w:val="6B7280"/>
          <w:sz w:val="24"/>
          <w:szCs w:val="24"/>
        </w:rPr>
        <w:t xml:space="preserve">Lifecycle, Register &amp; Close-out</w:t>
      </w:r>
    </w:p>
    <w:p>
      <w:pPr>
        <w:spacing w:after="600" w:before="600"/>
      </w:pPr>
      <w:r>
        <w:t xml:space="preserve"/>
      </w:r>
    </w:p>
    <w:p>
      <w:pPr>
        <w:jc w:val="center"/>
      </w:pPr>
      <w:r>
        <w:rPr>
          <w:rFonts w:ascii="Calibri" w:cs="Calibri" w:eastAsia="Calibri" w:hAnsi="Calibri"/>
          <w:b/>
          <w:bCs/>
          <w:color w:val="1F3864"/>
          <w:sz w:val="28"/>
          <w:szCs w:val="28"/>
        </w:rPr>
        <w:t xml:space="preserve">Document No: P-POL-014</w:t>
      </w:r>
    </w:p>
    <w:p>
      <w:pPr>
        <w:spacing w:after="400" w:before="400"/>
      </w:pPr>
      <w:r>
        <w:t xml:space="preserve"/>
      </w:r>
    </w:p>
    <w:p>
      <w:pPr>
        <w:pBdr>
          <w:top w:val="single" w:color="C9A961" w:sz="12"/>
        </w:pBdr>
        <w:jc w:val="center"/>
      </w:pPr>
      <w:r>
        <w:rPr>
          <w:rFonts w:ascii="Calibri" w:cs="Calibri" w:eastAsia="Calibri" w:hAnsi="Calibri"/>
          <w:color w:val="6B7280"/>
          <w:sz w:val="18"/>
          <w:szCs w:val="18"/>
        </w:rPr>
        <w:t xml:space="preserve">Copyright © 2026 Bukhatir Group</w:t>
      </w:r>
    </w:p>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Revision Control</w:t>
      </w:r>
    </w:p>
    <w:p>
      <w:pPr>
        <w:spacing w:after="60" w:before="60" w:line="290"/>
        <w:jc w:val="both"/>
      </w:pPr>
      <w:r>
        <w:rPr>
          <w:rFonts w:ascii="Calibri" w:cs="Calibri" w:eastAsia="Calibri" w:hAnsi="Calibri"/>
          <w:color w:val="222222"/>
          <w:sz w:val="22"/>
          <w:szCs w:val="22"/>
        </w:rPr>
        <w:t xml:space="preserve">This document is issued under the authority of Bukhatir Group and applies when carrying out the activities described. Revisions may be issued as necessary under the authority of the Group Head of Procurement. Revision history is recorded below with every revised policy.</w:t>
      </w:r>
    </w:p>
    <w:p>
      <w:pPr>
        <w:spacing w:after="100" w:before="100"/>
      </w:pPr>
      <w:r>
        <w:t xml:space="preserve"/>
      </w:r>
    </w:p>
    <w:p>
      <w:pPr>
        <w:pStyle w:val="Heading2"/>
        <w:spacing w:after="100" w:before="220"/>
      </w:pPr>
      <w:r>
        <w:rPr>
          <w:rFonts w:ascii="Calibri" w:cs="Calibri" w:eastAsia="Calibri" w:hAnsi="Calibri"/>
          <w:b/>
          <w:bCs/>
          <w:color w:val="2E75B6"/>
          <w:sz w:val="26"/>
          <w:szCs w:val="26"/>
        </w:rPr>
        <w:t xml:space="preserve">Revision History</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800"/>
        <w:gridCol w:w="2500"/>
        <w:gridCol w:w="5060"/>
      </w:tblGrid>
      <w:tr>
        <w:trPr>
          <w:tblHeader/>
        </w:trPr>
        <w:tc>
          <w:tcPr>
            <w:tcW w:type="dxa" w:w="1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Ver. No.</w:t>
            </w:r>
          </w:p>
        </w:tc>
        <w:tc>
          <w:tcPr>
            <w:tcW w:type="dxa" w:w="25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Effective Date</w:t>
            </w:r>
          </w:p>
        </w:tc>
        <w:tc>
          <w:tcPr>
            <w:tcW w:type="dxa" w:w="50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Description</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02</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September 2016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Original Procurement Policy</w:t>
            </w:r>
          </w:p>
        </w:tc>
      </w:tr>
      <w:tr>
        <w:tc>
          <w:tcPr>
            <w:tcW w:type="dxa" w:w="1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0.3</w:t>
            </w:r>
          </w:p>
        </w:tc>
        <w:tc>
          <w:tcPr>
            <w:tcW w:type="dxa" w:w="25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March 2026</w:t>
            </w:r>
          </w:p>
        </w:tc>
        <w:tc>
          <w:tcPr>
            <w:tcW w:type="dxa" w:w="50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Procurement Policy – Contract Management</w:t>
            </w:r>
          </w:p>
        </w:tc>
      </w:tr>
      <w:tr>
        <w:tc>
          <w:tcPr>
            <w:tcW w:type="dxa" w:w="1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0.4</w:t>
            </w:r>
          </w:p>
        </w:tc>
        <w:tc>
          <w:tcPr>
            <w:tcW w:type="dxa" w:w="25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08 April 2026</w:t>
            </w:r>
          </w:p>
        </w:tc>
        <w:tc>
          <w:tcPr>
            <w:tcW w:type="dxa" w:w="50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Redesign, content modernization &amp; flowcharts – Contract Management</w:t>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Revision Sign-Off</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4000"/>
        <w:gridCol w:w="3360"/>
        <w:gridCol w:w="2000"/>
      </w:tblGrid>
      <w:tr>
        <w:trPr>
          <w:tblHeader/>
        </w:trPr>
        <w:tc>
          <w:tcPr>
            <w:tcW w:type="dxa" w:w="4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Approving Committee</w:t>
            </w:r>
          </w:p>
        </w:tc>
        <w:tc>
          <w:tcPr>
            <w:tcW w:type="dxa" w:w="33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Name</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Signature</w:t>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Endorsed by — Group Head of Supply Chain</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Koussa</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BIIL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Ayman Ismail</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Reviewed by — Group Chief Financial Officer</w:t>
            </w:r>
          </w:p>
        </w:tc>
        <w:tc>
          <w:tcPr>
            <w:tcW w:type="dxa" w:w="33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Mohamad Adnaan Sait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r>
        <w:tc>
          <w:tcPr>
            <w:tcW w:type="dxa" w:w="4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Approved by — Group Vice Chairman &amp; Group CEO</w:t>
            </w:r>
          </w:p>
        </w:tc>
        <w:tc>
          <w:tcPr>
            <w:tcW w:type="dxa" w:w="33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Mr. Salah Bukhatir</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
            </w:r>
          </w:p>
        </w:tc>
      </w:tr>
    </w:tbl>
    <w:p>
      <w:pPr>
        <w:spacing w:after="200" w:before="200"/>
      </w:pPr>
      <w:r>
        <w:t xml:space="preserve"/>
      </w:r>
    </w:p>
    <w:p>
      <w:pPr>
        <w:pStyle w:val="Heading2"/>
        <w:spacing w:after="100" w:before="220"/>
      </w:pPr>
      <w:r>
        <w:rPr>
          <w:rFonts w:ascii="Calibri" w:cs="Calibri" w:eastAsia="Calibri" w:hAnsi="Calibri"/>
          <w:b/>
          <w:bCs/>
          <w:color w:val="2E75B6"/>
          <w:sz w:val="26"/>
          <w:szCs w:val="26"/>
        </w:rPr>
        <w:t xml:space="preserve">Distribution List</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800"/>
        <w:gridCol w:w="8560"/>
      </w:tblGrid>
      <w:tr>
        <w:trPr>
          <w:tblHeader/>
        </w:trPr>
        <w:tc>
          <w:tcPr>
            <w:tcW w:type="dxa" w:w="8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w:t>
            </w:r>
          </w:p>
        </w:tc>
        <w:tc>
          <w:tcPr>
            <w:tcW w:type="dxa" w:w="85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Departments</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Procurement Departments</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 (GSC)</w:t>
            </w:r>
          </w:p>
        </w:tc>
      </w:tr>
      <w:tr>
        <w:tc>
          <w:tcPr>
            <w:tcW w:type="dxa" w:w="8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w:t>
            </w:r>
          </w:p>
        </w:tc>
        <w:tc>
          <w:tcPr>
            <w:tcW w:type="dxa" w:w="85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Finance, Legal, Compliance, Internal Audit</w:t>
            </w:r>
          </w:p>
        </w:tc>
      </w:tr>
      <w:tr>
        <w:tc>
          <w:tcPr>
            <w:tcW w:type="dxa" w:w="8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w:t>
            </w:r>
          </w:p>
        </w:tc>
        <w:tc>
          <w:tcPr>
            <w:tcW w:type="dxa" w:w="85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 Management</w:t>
            </w:r>
          </w:p>
        </w:tc>
      </w:tr>
    </w:tbl>
    <w:p>
      <w:r>
        <w:br w:type="page"/>
      </w:r>
    </w:p>
    <w:p>
      <w:pPr>
        <w:pStyle w:val="Heading1"/>
        <w:pBdr>
          <w:bottom w:val="single" w:color="1F3864" w:sz="18" w:space="4"/>
        </w:pBdr>
        <w:spacing w:after="160" w:before="320"/>
      </w:pPr>
      <w:r>
        <w:rPr>
          <w:rFonts w:ascii="Calibri" w:cs="Calibri" w:eastAsia="Calibri" w:hAnsi="Calibri"/>
          <w:b/>
          <w:bCs/>
          <w:color w:val="1F3864"/>
          <w:sz w:val="30"/>
          <w:szCs w:val="30"/>
        </w:rPr>
        <w:t xml:space="preserve">1. Purpose</w:t>
      </w:r>
    </w:p>
    <w:p>
      <w:pPr>
        <w:spacing w:after="60" w:before="60" w:line="290"/>
        <w:jc w:val="both"/>
      </w:pPr>
      <w:r>
        <w:rPr>
          <w:rFonts w:ascii="Calibri" w:cs="Calibri" w:eastAsia="Calibri" w:hAnsi="Calibri"/>
          <w:color w:val="222222"/>
          <w:sz w:val="22"/>
          <w:szCs w:val="22"/>
        </w:rPr>
        <w:t xml:space="preserve">This policy defines how contracts are drafted, reviewed, executed, administered and closed across Bukhatir Group, ensuring legal enforceability, value realisation and risk control throughout the contract lifecycle.</w:t>
      </w:r>
    </w:p>
    <w:p>
      <w:pPr>
        <w:pStyle w:val="Heading1"/>
        <w:pBdr>
          <w:bottom w:val="single" w:color="1F3864" w:sz="18" w:space="4"/>
        </w:pBdr>
        <w:spacing w:after="160" w:before="320"/>
      </w:pPr>
      <w:r>
        <w:rPr>
          <w:rFonts w:ascii="Calibri" w:cs="Calibri" w:eastAsia="Calibri" w:hAnsi="Calibri"/>
          <w:b/>
          <w:bCs/>
          <w:color w:val="1F3864"/>
          <w:sz w:val="30"/>
          <w:szCs w:val="30"/>
        </w:rPr>
        <w:t xml:space="preserve">2. Scope</w:t>
      </w:r>
    </w:p>
    <w:p>
      <w:pPr>
        <w:spacing w:after="60" w:before="60" w:line="290"/>
        <w:jc w:val="both"/>
      </w:pPr>
      <w:r>
        <w:rPr>
          <w:rFonts w:ascii="Calibri" w:cs="Calibri" w:eastAsia="Calibri" w:hAnsi="Calibri"/>
          <w:color w:val="222222"/>
          <w:sz w:val="22"/>
          <w:szCs w:val="22"/>
        </w:rPr>
        <w:t xml:space="preserve">Applies to all contracts with third parties for the supply of goods, services, works and sub-contracts, including framework agreements and NDAs.</w:t>
      </w:r>
    </w:p>
    <w:p>
      <w:pPr>
        <w:pStyle w:val="Heading1"/>
        <w:pBdr>
          <w:bottom w:val="single" w:color="1F3864" w:sz="18" w:space="4"/>
        </w:pBdr>
        <w:spacing w:after="160" w:before="320"/>
      </w:pPr>
      <w:r>
        <w:rPr>
          <w:rFonts w:ascii="Calibri" w:cs="Calibri" w:eastAsia="Calibri" w:hAnsi="Calibri"/>
          <w:b/>
          <w:bCs/>
          <w:color w:val="1F3864"/>
          <w:sz w:val="30"/>
          <w:szCs w:val="30"/>
        </w:rPr>
        <w:t xml:space="preserve">3. Contract Lifecycle Stages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1600"/>
        <w:gridCol w:w="5760"/>
        <w:gridCol w:w="2000"/>
      </w:tblGrid>
      <w:tr>
        <w:trPr>
          <w:tblHeader/>
        </w:trPr>
        <w:tc>
          <w:tcPr>
            <w:tcW w:type="dxa" w:w="16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Stage</w:t>
            </w:r>
          </w:p>
        </w:tc>
        <w:tc>
          <w:tcPr>
            <w:tcW w:type="dxa" w:w="57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Key Activities</w:t>
            </w:r>
          </w:p>
        </w:tc>
        <w:tc>
          <w:tcPr>
            <w:tcW w:type="dxa" w:w="20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Owner</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1. Planning</w:t>
            </w:r>
          </w:p>
        </w:tc>
        <w:tc>
          <w:tcPr>
            <w:tcW w:type="dxa" w:w="5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Identify need, draft scope, risk assessment</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 + GSC</w:t>
            </w:r>
          </w:p>
        </w:tc>
      </w:tr>
      <w:tr>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2. Drafting</w:t>
            </w:r>
          </w:p>
        </w:tc>
        <w:tc>
          <w:tcPr>
            <w:tcW w:type="dxa" w:w="5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Select template, populate commercial &amp; legal terms</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 + Legal</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3. Negotiation</w:t>
            </w:r>
          </w:p>
        </w:tc>
        <w:tc>
          <w:tcPr>
            <w:tcW w:type="dxa" w:w="5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Commercial &amp; legal negotiation, redlines</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 + Legal</w:t>
            </w:r>
          </w:p>
        </w:tc>
      </w:tr>
      <w:tr>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4. Approval</w:t>
            </w:r>
          </w:p>
        </w:tc>
        <w:tc>
          <w:tcPr>
            <w:tcW w:type="dxa" w:w="5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 routing and sign-off</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Per DOA</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5. Execution</w:t>
            </w:r>
          </w:p>
        </w:tc>
        <w:tc>
          <w:tcPr>
            <w:tcW w:type="dxa" w:w="5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Signature, archive in Contract Register</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r>
      <w:tr>
        <w:tc>
          <w:tcPr>
            <w:tcW w:type="dxa" w:w="16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6. Administration</w:t>
            </w:r>
          </w:p>
        </w:tc>
        <w:tc>
          <w:tcPr>
            <w:tcW w:type="dxa" w:w="57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Performance, amendments, claims, renewals</w:t>
            </w:r>
          </w:p>
        </w:tc>
        <w:tc>
          <w:tcPr>
            <w:tcW w:type="dxa" w:w="20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 + BU</w:t>
            </w:r>
          </w:p>
        </w:tc>
      </w:tr>
      <w:tr>
        <w:tc>
          <w:tcPr>
            <w:tcW w:type="dxa" w:w="16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7. Close-out</w:t>
            </w:r>
          </w:p>
        </w:tc>
        <w:tc>
          <w:tcPr>
            <w:tcW w:type="dxa" w:w="57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Final acceptance, warranty release, lessons learned</w:t>
            </w:r>
          </w:p>
        </w:tc>
        <w:tc>
          <w:tcPr>
            <w:tcW w:type="dxa" w:w="20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 + GSC</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4. Standard Templates</w:t>
      </w:r>
    </w:p>
    <w:p>
      <w:pPr>
        <w:spacing w:after="60" w:before="60" w:line="290"/>
        <w:jc w:val="both"/>
      </w:pPr>
      <w:r>
        <w:rPr>
          <w:rFonts w:ascii="Calibri" w:cs="Calibri" w:eastAsia="Calibri" w:hAnsi="Calibri"/>
          <w:color w:val="222222"/>
          <w:sz w:val="22"/>
          <w:szCs w:val="22"/>
        </w:rPr>
        <w:t xml:space="preserve">Legal maintains a library of approved templates: Purchase Order T&amp;Cs, Services Agreement, Works Contract, Framework Agreement, NDA, MoU and LOI. Deviations require Legal review.</w:t>
      </w:r>
    </w:p>
    <w:p>
      <w:pPr>
        <w:pStyle w:val="Heading1"/>
        <w:pBdr>
          <w:bottom w:val="single" w:color="1F3864" w:sz="18" w:space="4"/>
        </w:pBdr>
        <w:spacing w:after="160" w:before="320"/>
      </w:pPr>
      <w:r>
        <w:rPr>
          <w:rFonts w:ascii="Calibri" w:cs="Calibri" w:eastAsia="Calibri" w:hAnsi="Calibri"/>
          <w:b/>
          <w:bCs/>
          <w:color w:val="1F3864"/>
          <w:sz w:val="30"/>
          <w:szCs w:val="30"/>
        </w:rPr>
        <w:t xml:space="preserve">5. Contract Register</w:t>
      </w:r>
    </w:p>
    <w:p>
      <w:pPr>
        <w:spacing w:after="60" w:before="60" w:line="290"/>
        <w:jc w:val="both"/>
      </w:pPr>
      <w:r>
        <w:rPr>
          <w:rFonts w:ascii="Calibri" w:cs="Calibri" w:eastAsia="Calibri" w:hAnsi="Calibri"/>
          <w:color w:val="222222"/>
          <w:sz w:val="22"/>
          <w:szCs w:val="22"/>
        </w:rPr>
        <w:t xml:space="preserve">GSC maintains a central Contract Register capturing: contract reference, counterparty, value, start/end dates, renewal options, owner and status. The Register is the single source of truth for all active contracts.</w:t>
      </w:r>
    </w:p>
    <w:p>
      <w:pPr>
        <w:pStyle w:val="Heading1"/>
        <w:pBdr>
          <w:bottom w:val="single" w:color="1F3864" w:sz="18" w:space="4"/>
        </w:pBdr>
        <w:spacing w:after="160" w:before="320"/>
      </w:pPr>
      <w:r>
        <w:rPr>
          <w:rFonts w:ascii="Calibri" w:cs="Calibri" w:eastAsia="Calibri" w:hAnsi="Calibri"/>
          <w:b/>
          <w:bCs/>
          <w:color w:val="1F3864"/>
          <w:sz w:val="30"/>
          <w:szCs w:val="30"/>
        </w:rPr>
        <w:t xml:space="preserve">6. Amendments &amp; Variations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9360"/>
      </w:tblGrid>
      <w:tr>
        <w:tc>
          <w:tcPr>
            <w:tcW w:type="dxa" w:w="9360"/>
            <w:tcBorders>
              <w:top w:val="single" w:color="C9A961" w:sz="24" w:space="0"/>
              <w:left w:val="single" w:color="BFBFBF" w:sz="4"/>
              <w:bottom w:val="single" w:color="BFBFBF" w:sz="4"/>
              <w:right w:val="single" w:color="BFBFBF" w:sz="4"/>
            </w:tcBorders>
            <w:shd w:fill="F2F5FB" w:val="clear"/>
            <w:tcMar>
              <w:top w:type="dxa" w:w="160"/>
              <w:left w:type="dxa" w:w="200"/>
              <w:bottom w:type="dxa" w:w="160"/>
              <w:right w:type="dxa" w:w="200"/>
            </w:tcMar>
          </w:tcPr>
          <w:p>
            <w:r>
              <w:rPr>
                <w:rFonts w:ascii="Calibri" w:cs="Calibri" w:eastAsia="Calibri" w:hAnsi="Calibri"/>
                <w:b/>
                <w:bCs/>
                <w:color w:val="1F3864"/>
                <w:sz w:val="20"/>
                <w:szCs w:val="20"/>
              </w:rPr>
              <w:t xml:space="preserve">WRITTEN ONLY</w:t>
            </w:r>
          </w:p>
          <w:p>
            <w:pPr>
              <w:spacing w:before="80"/>
            </w:pPr>
            <w:r>
              <w:rPr>
                <w:rFonts w:ascii="Calibri" w:cs="Calibri" w:eastAsia="Calibri" w:hAnsi="Calibri"/>
                <w:color w:val="333333"/>
                <w:sz w:val="20"/>
                <w:szCs w:val="20"/>
              </w:rPr>
              <w:t xml:space="preserve">All amendments, variations, extensions and terminations shall be in writing and approved per DOA. Verbal changes are not enforceable and shall not be actioned.</w:t>
            </w:r>
          </w:p>
        </w:tc>
      </w:tr>
    </w:tbl>
    <w:p>
      <w:pPr>
        <w:pStyle w:val="Heading1"/>
        <w:pBdr>
          <w:bottom w:val="single" w:color="1F3864" w:sz="18" w:space="4"/>
        </w:pBdr>
        <w:spacing w:after="160" w:before="320"/>
      </w:pPr>
      <w:r>
        <w:rPr>
          <w:rFonts w:ascii="Calibri" w:cs="Calibri" w:eastAsia="Calibri" w:hAnsi="Calibri"/>
          <w:b/>
          <w:bCs/>
          <w:color w:val="1F3864"/>
          <w:sz w:val="30"/>
          <w:szCs w:val="30"/>
        </w:rPr>
        <w:t xml:space="preserve">7. Performance Monitoring</w:t>
      </w:r>
    </w:p>
    <w:p>
      <w:pPr>
        <w:spacing w:after="60" w:before="60" w:line="290"/>
        <w:jc w:val="both"/>
      </w:pPr>
      <w:r>
        <w:rPr>
          <w:rFonts w:ascii="Calibri" w:cs="Calibri" w:eastAsia="Calibri" w:hAnsi="Calibri"/>
          <w:color w:val="222222"/>
          <w:sz w:val="22"/>
          <w:szCs w:val="22"/>
        </w:rPr>
        <w:t xml:space="preserve">Contract owners shall review performance against contractual KPIs at least quarterly. Material breaches are escalated to GSC and Legal.</w:t>
      </w:r>
    </w:p>
    <w:p>
      <w:pPr>
        <w:pStyle w:val="Heading1"/>
        <w:pBdr>
          <w:bottom w:val="single" w:color="1F3864" w:sz="18" w:space="4"/>
        </w:pBdr>
        <w:spacing w:after="160" w:before="320"/>
      </w:pPr>
      <w:r>
        <w:rPr>
          <w:rFonts w:ascii="Calibri" w:cs="Calibri" w:eastAsia="Calibri" w:hAnsi="Calibri"/>
          <w:b/>
          <w:bCs/>
          <w:color w:val="1F3864"/>
          <w:sz w:val="30"/>
          <w:szCs w:val="30"/>
        </w:rPr>
        <w:t xml:space="preserve">8. Close-out</w:t>
      </w:r>
    </w:p>
    <w:p>
      <w:pPr>
        <w:spacing w:after="60" w:before="60" w:line="290"/>
        <w:jc w:val="both"/>
      </w:pPr>
      <w:r>
        <w:rPr>
          <w:rFonts w:ascii="Calibri" w:cs="Calibri" w:eastAsia="Calibri" w:hAnsi="Calibri"/>
          <w:color w:val="222222"/>
          <w:sz w:val="22"/>
          <w:szCs w:val="22"/>
        </w:rPr>
        <w:t xml:space="preserve">On expiry or completion, GSC performs a formal close-out: final deliverables accepted, warranty retention released (where applicable), lessons learned captured and the Contract Register updated.</w:t>
      </w:r>
    </w:p>
    <w:p>
      <w:pPr>
        <w:pStyle w:val="Heading1"/>
        <w:pBdr>
          <w:bottom w:val="single" w:color="1F3864" w:sz="18" w:space="4"/>
        </w:pBdr>
        <w:spacing w:after="160" w:before="320"/>
      </w:pPr>
      <w:r>
        <w:rPr>
          <w:rFonts w:ascii="Calibri" w:cs="Calibri" w:eastAsia="Calibri" w:hAnsi="Calibri"/>
          <w:b/>
          <w:bCs/>
          <w:color w:val="1F3864"/>
          <w:sz w:val="30"/>
          <w:szCs w:val="30"/>
        </w:rPr>
        <w:t xml:space="preserve">9. Reference Forms</w:t>
      </w:r>
    </w:p>
    <w:p>
      <w:pPr>
        <w:pStyle w:val="ListParagraph"/>
        <w:numPr>
          <w:ilvl w:val="0"/>
          <w:numId w:val="2"/>
        </w:numPr>
        <w:spacing w:after="40" w:before="40"/>
      </w:pPr>
      <w:r>
        <w:rPr>
          <w:rFonts w:ascii="Calibri" w:cs="Calibri" w:eastAsia="Calibri" w:hAnsi="Calibri"/>
          <w:color w:val="222222"/>
          <w:sz w:val="22"/>
          <w:szCs w:val="22"/>
        </w:rPr>
        <w:t xml:space="preserve">Form F-CM-01 — Contract Request &amp; Intake Form</w:t>
      </w:r>
    </w:p>
    <w:p>
      <w:pPr>
        <w:pStyle w:val="ListParagraph"/>
        <w:numPr>
          <w:ilvl w:val="0"/>
          <w:numId w:val="2"/>
        </w:numPr>
        <w:spacing w:after="40" w:before="40"/>
      </w:pPr>
      <w:r>
        <w:rPr>
          <w:rFonts w:ascii="Calibri" w:cs="Calibri" w:eastAsia="Calibri" w:hAnsi="Calibri"/>
          <w:color w:val="222222"/>
          <w:sz w:val="22"/>
          <w:szCs w:val="22"/>
        </w:rPr>
        <w:t xml:space="preserve">Form F-CM-02 — Contract Amendment / Variation Form</w:t>
      </w:r>
    </w:p>
    <w:p>
      <w:pPr>
        <w:pStyle w:val="ListParagraph"/>
        <w:numPr>
          <w:ilvl w:val="0"/>
          <w:numId w:val="2"/>
        </w:numPr>
        <w:spacing w:after="40" w:before="40"/>
      </w:pPr>
      <w:r>
        <w:rPr>
          <w:rFonts w:ascii="Calibri" w:cs="Calibri" w:eastAsia="Calibri" w:hAnsi="Calibri"/>
          <w:color w:val="222222"/>
          <w:sz w:val="22"/>
          <w:szCs w:val="22"/>
        </w:rPr>
        <w:t xml:space="preserve">Form F-CM-03 — Contract Close-out &amp; Lessons Learned Form</w:t>
      </w:r>
    </w:p>
    <w:p>
      <w:pPr>
        <w:pStyle w:val="Heading1"/>
        <w:pBdr>
          <w:bottom w:val="single" w:color="1F3864" w:sz="18" w:space="4"/>
        </w:pBdr>
        <w:spacing w:after="160" w:before="320"/>
      </w:pPr>
      <w:r>
        <w:rPr>
          <w:rFonts w:ascii="Calibri" w:cs="Calibri" w:eastAsia="Calibri" w:hAnsi="Calibri"/>
          <w:b/>
          <w:bCs/>
          <w:color w:val="1F3864"/>
          <w:sz w:val="30"/>
          <w:szCs w:val="30"/>
        </w:rPr>
        <w:t xml:space="preserve">10. Definitions &amp; Acronyms</w:t>
      </w:r>
    </w:p>
    <w:tbl>
      <w:tblPr>
        <w:tblW w:type="dxa" w:w="9360"/>
        <w:tblBorders>
          <w:top w:val="single" w:color="auto" w:sz="4"/>
          <w:left w:val="single" w:color="auto" w:sz="4"/>
          <w:bottom w:val="single" w:color="auto" w:sz="4"/>
          <w:right w:val="single" w:color="auto" w:sz="4"/>
          <w:insideH w:val="single" w:color="auto" w:sz="4"/>
          <w:insideV w:val="single" w:color="auto" w:sz="4"/>
        </w:tblBorders>
      </w:tblPr>
      <w:tblGrid>
        <w:gridCol w:w="2200"/>
        <w:gridCol w:w="7160"/>
      </w:tblGrid>
      <w:tr>
        <w:trPr>
          <w:tblHeader/>
        </w:trPr>
        <w:tc>
          <w:tcPr>
            <w:tcW w:type="dxa" w:w="220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Acronym / Term</w:t>
            </w:r>
          </w:p>
        </w:tc>
        <w:tc>
          <w:tcPr>
            <w:tcW w:type="dxa" w:w="7160"/>
            <w:tcBorders>
              <w:top w:val="single" w:color="BFBFBF" w:sz="4"/>
              <w:left w:val="single" w:color="BFBFBF" w:sz="4"/>
              <w:bottom w:val="single" w:color="BFBFBF" w:sz="4"/>
              <w:right w:val="single" w:color="BFBFBF" w:sz="4"/>
            </w:tcBorders>
            <w:shd w:fill="1F3864" w:val="clear"/>
            <w:tcMar>
              <w:top w:type="dxa" w:w="100"/>
              <w:left w:type="dxa" w:w="140"/>
              <w:bottom w:type="dxa" w:w="100"/>
              <w:right w:type="dxa" w:w="140"/>
            </w:tcMar>
          </w:tcPr>
          <w:p>
            <w:pPr>
              <w:jc w:val="left"/>
            </w:pPr>
            <w:r>
              <w:rPr>
                <w:rFonts w:ascii="Calibri" w:cs="Calibri" w:eastAsia="Calibri" w:hAnsi="Calibri"/>
                <w:b/>
                <w:bCs/>
                <w:color w:val="FFFFFF"/>
                <w:sz w:val="20"/>
                <w:szCs w:val="20"/>
              </w:rPr>
              <w:t xml:space="preserve">Definition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AED</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United Arab Emirates Dirham</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Business Unit</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DOA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Delegation of Authority</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GSC</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Group Supply Chain</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KPI</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Key Performance Indicator</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MoU</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Memorandum of Understanding</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NDA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Non-Disclosure Agreement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Oracle</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Enterprise Resource Planning System</w:t>
            </w:r>
          </w:p>
        </w:tc>
      </w:tr>
      <w:tr>
        <w:tc>
          <w:tcPr>
            <w:tcW w:type="dxa" w:w="220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SLA</w:t>
            </w:r>
          </w:p>
        </w:tc>
        <w:tc>
          <w:tcPr>
            <w:tcW w:type="dxa" w:w="7160"/>
            <w:tcBorders>
              <w:top w:val="single" w:color="BFBFBF" w:sz="4"/>
              <w:left w:val="single" w:color="BFBFBF" w:sz="4"/>
              <w:bottom w:val="single" w:color="BFBFBF" w:sz="4"/>
              <w:right w:val="single" w:color="BFBFBF" w:sz="4"/>
            </w:tcBorders>
            <w:shd w:fill="F2F5FB" w:val="clear"/>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Service Level Agreement</w:t>
            </w:r>
          </w:p>
        </w:tc>
      </w:tr>
      <w:tr>
        <w:tc>
          <w:tcPr>
            <w:tcW w:type="dxa" w:w="220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T&amp;Cs</w:t>
            </w:r>
          </w:p>
        </w:tc>
        <w:tc>
          <w:tcPr>
            <w:tcW w:type="dxa" w:w="7160"/>
            <w:tcBorders>
              <w:top w:val="single" w:color="BFBFBF" w:sz="4"/>
              <w:left w:val="single" w:color="BFBFBF" w:sz="4"/>
              <w:bottom w:val="single" w:color="BFBFBF" w:sz="4"/>
              <w:right w:val="single" w:color="BFBFBF" w:sz="4"/>
            </w:tcBorders>
            <w:tcMar>
              <w:top w:type="dxa" w:w="100"/>
              <w:left w:type="dxa" w:w="140"/>
              <w:bottom w:type="dxa" w:w="100"/>
              <w:right w:type="dxa" w:w="140"/>
            </w:tcMar>
          </w:tcPr>
          <w:p>
            <w:pPr>
              <w:jc w:val="left"/>
            </w:pPr>
            <w:r>
              <w:rPr>
                <w:rFonts w:ascii="Calibri" w:cs="Calibri" w:eastAsia="Calibri" w:hAnsi="Calibri"/>
                <w:b w:val="false"/>
                <w:bCs w:val="false"/>
                <w:color w:val="222222"/>
                <w:sz w:val="20"/>
                <w:szCs w:val="20"/>
              </w:rPr>
              <w:t xml:space="preserve">Terms and Conditions</w:t>
            </w:r>
          </w:p>
        </w:tc>
      </w:tr>
    </w:tbl>
    <w:sectPr>
      <w:headerReference w:type="default" r:id="rId7"/>
      <w:footerReference w:type="default" r:id="rId8"/>
      <w:pgSz w:w="12240" w:h="15840" w:orient="portrait"/>
      <w:pgMar w:top="1440" w:right="1440" w:bottom="1440" w:left="144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pPr>
        <w:spacing w:after="0" w:line="240" w:lineRule="auto"/>
      </w:pPr>
      <w:r>
        <w:rPr>
          <w:rStyle w:val="EndnoteReference"/>
        </w:rPr>
        <w:endnoteRef/>
      </w:r>
      <w:r>
        <w:separator/>
      </w:r>
    </w:p>
  </w:endnote>
  <w:endnote w:type="continuationSeparator" w:id="0">
    <w:p>
      <w:pPr>
        <w:spacing w:after="0" w:line="240" w:lineRule="auto"/>
      </w:pPr>
      <w:r>
        <w:rPr>
          <w:rStyle w:val="EndnoteReference"/>
        </w:rPr>
        <w:endnoteRef/>
      </w: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w:p>
    <w:pPr>
      <w:pBdr>
        <w:top w:val="single" w:color="1F3864" w:sz="6" w:space="4"/>
      </w:pBdr>
      <w:tabs>
        <w:tab w:val="right" w:pos="9026"/>
      </w:tabs>
    </w:pPr>
    <w:r>
      <w:rPr>
        <w:rFonts w:ascii="Calibri" w:cs="Calibri" w:eastAsia="Calibri" w:hAnsi="Calibri"/>
        <w:color w:val="1F3864"/>
        <w:sz w:val="18"/>
        <w:szCs w:val="18"/>
      </w:rPr>
      <w:t xml:space="preserve">P-POL-014  |  Effective: 08 April 2026</w:t>
    </w:r>
    <w:r>
      <w:rPr>
        <w:rFonts w:ascii="Calibri" w:cs="Calibri" w:eastAsia="Calibri" w:hAnsi="Calibri"/>
        <w:color w:val="6B7280"/>
        <w:sz w:val="18"/>
        <w:szCs w:val="18"/>
      </w:rPr>
      <w:t xml:space="preserve">	Page </w:t>
    </w:r>
    <w:r>
      <w:rPr>
        <w:rFonts w:ascii="Calibri" w:cs="Calibri" w:eastAsia="Calibri" w:hAnsi="Calibri"/>
        <w:color w:val="6B7280"/>
        <w:sz w:val="18"/>
        <w:szCs w:val="18"/>
      </w:rPr>
      <w:fldChar w:fldCharType="begin"/>
      <w:instrText xml:space="preserve">PAGE</w:instrText>
      <w:fldChar w:fldCharType="separate"/>
      <w:fldChar w:fldCharType="end"/>
    </w:r>
    <w:r>
      <w:rPr>
        <w:rFonts w:ascii="Calibri" w:cs="Calibri" w:eastAsia="Calibri" w:hAnsi="Calibri"/>
        <w:color w:val="6B7280"/>
        <w:sz w:val="18"/>
        <w:szCs w:val="18"/>
      </w:rPr>
      <w:t xml:space="preserve"> of </w:t>
    </w:r>
    <w:r>
      <w:rPr>
        <w:rFonts w:ascii="Calibri" w:cs="Calibri" w:eastAsia="Calibri" w:hAnsi="Calibri"/>
        <w:color w:val="6B7280"/>
        <w:sz w:val="18"/>
        <w:szCs w:val="18"/>
      </w:rPr>
      <w:fldChar w:fldCharType="begin"/>
      <w:instrText xml:space="preserve">NUMPAGES</w:instrText>
      <w:fldChar w:fldCharType="separate"/>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tbl>
    <w:tblPr>
      <w:tblW w:type="dxa" w:w="9360"/>
      <w:tblBorders>
        <w:top w:val="none"/>
        <w:left w:val="none"/>
        <w:bottom w:val="single" w:color="1F3864" w:sz="6"/>
        <w:right w:val="none"/>
        <w:insideH w:val="none"/>
        <w:insideV w:val="none"/>
      </w:tblBorders>
    </w:tblPr>
    <w:tblGrid>
      <w:gridCol w:w="4200"/>
      <w:gridCol w:w="3000"/>
      <w:gridCol w:w="2160"/>
    </w:tblGrid>
    <w:tr>
      <w:tc>
        <w:tcPr>
          <w:tcW w:type="dxa" w:w="4200"/>
          <w:tcBorders>
            <w:top w:val="none"/>
            <w:left w:val="none"/>
            <w:bottom w:val="single" w:color="1F3864" w:sz="6"/>
            <w:right w:val="none"/>
          </w:tcBorders>
        </w:tcPr>
        <w:p>
          <w:r>
            <w:rPr>
              <w:rFonts w:ascii="Calibri" w:cs="Calibri" w:eastAsia="Calibri" w:hAnsi="Calibri"/>
              <w:b/>
              <w:bCs/>
              <w:color w:val="1F3864"/>
              <w:sz w:val="18"/>
              <w:szCs w:val="18"/>
            </w:rPr>
            <w:t xml:space="preserve">Bukhatir Group | Group Supply Chain</w:t>
          </w:r>
        </w:p>
      </w:tc>
      <w:tc>
        <w:tcPr>
          <w:tcW w:type="dxa" w:w="3000"/>
          <w:tcBorders>
            <w:top w:val="none"/>
            <w:left w:val="none"/>
            <w:bottom w:val="single" w:color="1F3864" w:sz="6"/>
            <w:right w:val="none"/>
          </w:tcBorders>
        </w:tcPr>
        <w:p>
          <w:pPr>
            <w:jc w:val="center"/>
          </w:pPr>
          <w:r>
            <w:rPr>
              <w:rFonts w:ascii="Calibri" w:cs="Calibri" w:eastAsia="Calibri" w:hAnsi="Calibri"/>
              <w:b/>
              <w:bCs/>
              <w:color w:val="2E75B6"/>
              <w:sz w:val="18"/>
              <w:szCs w:val="18"/>
            </w:rPr>
            <w:t xml:space="preserve">Contract Management</w:t>
          </w:r>
        </w:p>
      </w:tc>
      <w:tc>
        <w:tcPr>
          <w:tcW w:type="dxa" w:w="2160"/>
          <w:tcBorders>
            <w:top w:val="none"/>
            <w:left w:val="none"/>
            <w:bottom w:val="single" w:color="1F3864" w:sz="6"/>
            <w:right w:val="none"/>
          </w:tcBorders>
        </w:tcPr>
        <w:p>
          <w:pPr>
            <w:jc w:val="right"/>
          </w:pPr>
          <w:r>
            <w:rPr>
              <w:rFonts w:ascii="Calibri" w:cs="Calibri" w:eastAsia="Calibri" w:hAnsi="Calibri"/>
              <w:color w:val="6B7280"/>
              <w:sz w:val="18"/>
              <w:szCs w:val="18"/>
            </w:rPr>
            <w:t xml:space="preserve">Ver 0.4 | 08 APR 2026</w:t>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abstractNum w:abstractNumId="2" w15:restartNumberingAfterBreak="0">
    <w:multiLevelType w:val="hybridMultilevel"/>
    <w:lvl w:ilvl="0" w15:tentative="1">
      <w:start w:val="1"/>
      <w:numFmt w:val="bullet"/>
      <w:lvlText w:val="•"/>
      <w:lvlJc w:val="left"/>
      <w:pPr>
        <w:ind w:left="540" w:hanging="270"/>
      </w:pPr>
    </w:lvl>
  </w:abstractNum>
  <w:abstractNum w:abstractNumId="3" w15:restartNumberingAfterBreak="0">
    <w:multiLevelType w:val="hybridMultilevel"/>
    <w:lvl w:ilvl="0" w15:tentative="1">
      <w:start w:val="1"/>
      <w:numFmt w:val="decimal"/>
      <w:lvlText w:val="%1."/>
      <w:lvlJc w:val="left"/>
      <w:pPr>
        <w:ind w:left="540" w:hanging="360"/>
      </w:pPr>
    </w:lvl>
  </w:abstractNum>
  <w:num w:numId="1">
    <w:abstractNumId w:val="1"/>
    <w:lvlOverride w:ilvl="0">
      <w:startOverride w:val="1"/>
    </w:lvlOverride>
  </w:num>
  <w:num w:numId="2">
    <w:abstractNumId w:val="2"/>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name="compatibilityMode" w:uri="http://schemas.microsoft.com/office/word"/>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cs="Calibri" w:eastAsia="Calibri" w:hAnsi="Calibri"/>
        <w:sz w:val="22"/>
        <w:szCs w:val="22"/>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character" w:styleId="EndnoteReference">
    <w:name w:val="endnote reference"/>
    <w:basedOn w:val="DefaultParagraphFont"/>
    <w:uiPriority w:val="99"/>
    <w:semiHidden/>
    <w:unhideWhenUsed/>
    <w:rPr>
      <w:vertAlign w:val="superscript"/>
    </w:rPr>
  </w:style>
  <w:style w:type="paragraph" w:styleId="EndnoteText">
    <w:name w:val="endnote text"/>
    <w:basedOn w:val="Normal"/>
    <w:link w:val="EndnoteTextChar"/>
    <w:uiPriority w:val="99"/>
    <w:semiHidden/>
    <w:unhideWhenUsed/>
    <w:pPr>
      <w:spacing w:after="0" w:line="240" w:lineRule="auto"/>
    </w:pPr>
    <w:rPr>
      <w:sz w:val="20"/>
      <w:szCs w:val="20"/>
    </w:rPr>
  </w:style>
  <w:style w:type="character" w:styleId="EndnoteTextChar">
    <w:name w:val="Endnote Text Char"/>
    <w:basedOn w:val="DefaultParagraphFont"/>
    <w:link w:val="EndnoteText"/>
    <w:uiPriority w:val="99"/>
    <w:semiHidden/>
    <w:unhideWhenUsed/>
    <w:rPr>
      <w:sz w:val="20"/>
      <w:szCs w:val="20"/>
    </w:rPr>
  </w:style>
  <w:style w:type="paragraph" w:styleId="Heading1">
    <w:name w:val="Heading 1"/>
    <w:basedOn w:val="Normal"/>
    <w:next w:val="Normal"/>
    <w:qFormat/>
    <w:pPr>
      <w:spacing w:after="160" w:before="320"/>
      <w:outlineLvl w:val="0"/>
    </w:pPr>
    <w:rPr>
      <w:rFonts w:ascii="Calibri" w:cs="Calibri" w:eastAsia="Calibri" w:hAnsi="Calibri"/>
      <w:b/>
      <w:bCs/>
      <w:color w:val="1F3864"/>
      <w:sz w:val="32"/>
      <w:szCs w:val="32"/>
    </w:rPr>
  </w:style>
  <w:style w:type="paragraph" w:styleId="Heading2">
    <w:name w:val="Heading 2"/>
    <w:basedOn w:val="Normal"/>
    <w:next w:val="Normal"/>
    <w:qFormat/>
    <w:pPr>
      <w:spacing w:after="100" w:before="220"/>
      <w:outlineLvl w:val="1"/>
    </w:pPr>
    <w:rPr>
      <w:rFonts w:ascii="Calibri" w:cs="Calibri" w:eastAsia="Calibri" w:hAnsi="Calibri"/>
      <w:b/>
      <w:bCs/>
      <w:color w:val="2E75B6"/>
      <w:sz w:val="28"/>
      <w:szCs w:val="28"/>
    </w:rPr>
  </w:style>
  <w:style w:type="paragraph" w:styleId="Heading3">
    <w:name w:val="Heading 3"/>
    <w:basedOn w:val="Normal"/>
    <w:next w:val="Normal"/>
    <w:qFormat/>
    <w:pPr>
      <w:spacing w:after="80" w:before="160"/>
      <w:outlineLvl w:val="2"/>
    </w:pPr>
    <w:rPr>
      <w:rFonts w:ascii="Calibri" w:cs="Calibri" w:eastAsia="Calibri" w:hAnsi="Calibri"/>
      <w:b/>
      <w:bCs/>
      <w:color w:val="1F3864"/>
      <w:sz w:val="24"/>
      <w:szCs w:val="24"/>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endnotes" Target="endnotes.xml"/><Relationship Id="rId5" Type="http://schemas.openxmlformats.org/officeDocument/2006/relationships/settings" Target="settings.xml"/><Relationship Id="rId6" Type="http://schemas.openxmlformats.org/officeDocument/2006/relationships/comments" Target="comments.xm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fontTable" Target="fontTable.xml"/></Relationships>
</file>

<file path=word/_rels/endnotes.xml.rels><?xml version="1.0" encoding="UTF-8"?><Relationships xmlns="http://schemas.openxmlformats.org/package/2006/relationships"/>
</file>

<file path=word/_rels/fontTable.xml.rels><?xml version="1.0" encoding="UTF-8"?><Relationships xmlns="http://schemas.openxmlformats.org/package/2006/relationships"/>
</file>

<file path=word/_rels/footer1.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Contract Management - P-POL-014</dc:title>
  <dc:creator>Bukhatir Group - Group Supply Chain</dc:creator>
  <cp:lastModifiedBy>Un-named</cp:lastModifiedBy>
  <cp:revision>1</cp:revision>
  <dcterms:created xsi:type="dcterms:W3CDTF">2026-04-13T04:45:55.740Z</dcterms:created>
  <dcterms:modified xsi:type="dcterms:W3CDTF">2026-04-13T04:45:55.740Z</dcterms:modified>
</cp:coreProperties>
</file>

<file path=docProps/custom.xml><?xml version="1.0" encoding="utf-8"?>
<Properties xmlns="http://schemas.openxmlformats.org/officeDocument/2006/custom-properties" xmlns:vt="http://schemas.openxmlformats.org/officeDocument/2006/docPropsVTypes"/>
</file>