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P-POL-013</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Sustainable &amp; ESG Procurement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Sustainable &amp; ESG Procurement</w:t>
      </w:r>
    </w:p>
    <w:p>
      <w:pPr>
        <w:spacing w:after="400"/>
        <w:jc w:val="center"/>
      </w:pPr>
      <w:r>
        <w:rPr>
          <w:rFonts w:ascii="Calibri" w:cs="Calibri" w:eastAsia="Calibri" w:hAnsi="Calibri"/>
          <w:i/>
          <w:iCs/>
          <w:color w:val="6B7280"/>
          <w:sz w:val="24"/>
          <w:szCs w:val="24"/>
        </w:rPr>
        <w:t xml:space="preserve">Environmental, Social &amp; Governance Sourcing</w:t>
      </w:r>
    </w:p>
    <w:p>
      <w:pPr>
        <w:spacing w:after="600" w:before="600"/>
      </w:pPr>
      <w:r>
        <w:t xml:space="preserve"/>
      </w:r>
    </w:p>
    <w:p>
      <w:pPr>
        <w:jc w:val="center"/>
      </w:pPr>
      <w:r>
        <w:rPr>
          <w:rFonts w:ascii="Calibri" w:cs="Calibri" w:eastAsia="Calibri" w:hAnsi="Calibri"/>
          <w:b/>
          <w:bCs/>
          <w:color w:val="1F3864"/>
          <w:sz w:val="28"/>
          <w:szCs w:val="28"/>
        </w:rPr>
        <w:t xml:space="preserve">Document No: P-POL-013</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Sustainable &amp; ESG Procurement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Sustainable &amp; ESG Procurement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embeds environmental, social and governance (ESG) criteria into the Bukhatir Group sourcing lifecycle. It supports the UAE Net Zero 2050 strategy, Emiratisation and In-Country Value (ICV) objectives.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sourcing events, supplier onboarding and contract management activities across the Group.</w:t>
      </w:r>
    </w:p>
    <w:p>
      <w:pPr>
        <w:pStyle w:val="Heading1"/>
        <w:pBdr>
          <w:bottom w:val="single" w:color="1F3864" w:sz="18" w:space="4"/>
        </w:pBdr>
        <w:spacing w:after="160" w:before="320"/>
      </w:pPr>
      <w:r>
        <w:rPr>
          <w:rFonts w:ascii="Calibri" w:cs="Calibri" w:eastAsia="Calibri" w:hAnsi="Calibri"/>
          <w:b/>
          <w:bCs/>
          <w:color w:val="1F3864"/>
          <w:sz w:val="30"/>
          <w:szCs w:val="30"/>
        </w:rPr>
        <w:t xml:space="preserve">3. ESG Evaluation Criteria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5560"/>
        <w:gridCol w:w="200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Dimension</w:t>
            </w:r>
          </w:p>
        </w:tc>
        <w:tc>
          <w:tcPr>
            <w:tcW w:type="dxa" w:w="5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Examples of Criteria</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Weight in SOP 2 Scoring</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Environmental</w:t>
            </w:r>
          </w:p>
        </w:tc>
        <w:tc>
          <w:tcPr>
            <w:tcW w:type="dxa" w:w="5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Carbon footprint, waste management, energy efficiency, water use, recycled content, ISO 14001</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 – 6%</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Social</w:t>
            </w:r>
          </w:p>
        </w:tc>
        <w:tc>
          <w:tcPr>
            <w:tcW w:type="dxa" w:w="5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Labour rights, wage protection, diversity, HSE record, community impact, Emiratisation</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 – 5%</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Governance</w:t>
            </w:r>
          </w:p>
        </w:tc>
        <w:tc>
          <w:tcPr>
            <w:tcW w:type="dxa" w:w="5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Anti-bribery, data protection, board oversight, financial transparency</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 – 4%</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Minimum Standards for Suppliers</w:t>
      </w:r>
    </w:p>
    <w:p>
      <w:pPr>
        <w:pStyle w:val="ListParagraph"/>
        <w:numPr>
          <w:ilvl w:val="0"/>
          <w:numId w:val="2"/>
        </w:numPr>
        <w:spacing w:after="40" w:before="40"/>
      </w:pPr>
      <w:r>
        <w:rPr>
          <w:rFonts w:ascii="Calibri" w:cs="Calibri" w:eastAsia="Calibri" w:hAnsi="Calibri"/>
          <w:color w:val="222222"/>
          <w:sz w:val="22"/>
          <w:szCs w:val="22"/>
        </w:rPr>
        <w:t xml:space="preserve">Compliance with all UAE environmental and labour regulations.</w:t>
      </w:r>
    </w:p>
    <w:p>
      <w:pPr>
        <w:pStyle w:val="ListParagraph"/>
        <w:numPr>
          <w:ilvl w:val="0"/>
          <w:numId w:val="2"/>
        </w:numPr>
        <w:spacing w:after="40" w:before="40"/>
      </w:pPr>
      <w:r>
        <w:rPr>
          <w:rFonts w:ascii="Calibri" w:cs="Calibri" w:eastAsia="Calibri" w:hAnsi="Calibri"/>
          <w:color w:val="222222"/>
          <w:sz w:val="22"/>
          <w:szCs w:val="22"/>
        </w:rPr>
        <w:t xml:space="preserve">Signed Supplier Code of Conduct (see P-POL-006 / SOP 5).</w:t>
      </w:r>
    </w:p>
    <w:p>
      <w:pPr>
        <w:pStyle w:val="ListParagraph"/>
        <w:numPr>
          <w:ilvl w:val="0"/>
          <w:numId w:val="2"/>
        </w:numPr>
        <w:spacing w:after="40" w:before="40"/>
      </w:pPr>
      <w:r>
        <w:rPr>
          <w:rFonts w:ascii="Calibri" w:cs="Calibri" w:eastAsia="Calibri" w:hAnsi="Calibri"/>
          <w:color w:val="222222"/>
          <w:sz w:val="22"/>
          <w:szCs w:val="22"/>
        </w:rPr>
        <w:t xml:space="preserve">No use of child or forced labour anywhere in the supply chain.</w:t>
      </w:r>
    </w:p>
    <w:p>
      <w:pPr>
        <w:pStyle w:val="ListParagraph"/>
        <w:numPr>
          <w:ilvl w:val="0"/>
          <w:numId w:val="2"/>
        </w:numPr>
        <w:spacing w:after="40" w:before="40"/>
      </w:pPr>
      <w:r>
        <w:rPr>
          <w:rFonts w:ascii="Calibri" w:cs="Calibri" w:eastAsia="Calibri" w:hAnsi="Calibri"/>
          <w:color w:val="222222"/>
          <w:sz w:val="22"/>
          <w:szCs w:val="22"/>
        </w:rPr>
        <w:t xml:space="preserve">Documented HSE management system for Tier 1 and Tier 2 suppliers.</w:t>
      </w:r>
    </w:p>
    <w:p>
      <w:pPr>
        <w:pStyle w:val="ListParagraph"/>
        <w:numPr>
          <w:ilvl w:val="0"/>
          <w:numId w:val="2"/>
        </w:numPr>
        <w:spacing w:after="40" w:before="40"/>
      </w:pPr>
      <w:r>
        <w:rPr>
          <w:rFonts w:ascii="Calibri" w:cs="Calibri" w:eastAsia="Calibri" w:hAnsi="Calibri"/>
          <w:color w:val="222222"/>
          <w:sz w:val="22"/>
          <w:szCs w:val="22"/>
        </w:rPr>
        <w:t xml:space="preserve">Willingness to disclose Scope 1 and Scope 2 emissions for strategic suppliers.</w:t>
      </w:r>
    </w:p>
    <w:p>
      <w:pPr>
        <w:pStyle w:val="Heading1"/>
        <w:pBdr>
          <w:bottom w:val="single" w:color="1F3864" w:sz="18" w:space="4"/>
        </w:pBdr>
        <w:spacing w:after="160" w:before="320"/>
      </w:pPr>
      <w:r>
        <w:rPr>
          <w:rFonts w:ascii="Calibri" w:cs="Calibri" w:eastAsia="Calibri" w:hAnsi="Calibri"/>
          <w:b/>
          <w:bCs/>
          <w:color w:val="1F3864"/>
          <w:sz w:val="30"/>
          <w:szCs w:val="30"/>
        </w:rPr>
        <w:t xml:space="preserve">5. ICV &amp; Emiratisation</w:t>
      </w:r>
    </w:p>
    <w:p>
      <w:pPr>
        <w:spacing w:after="60" w:before="60" w:line="290"/>
        <w:jc w:val="both"/>
      </w:pPr>
      <w:r>
        <w:rPr>
          <w:rFonts w:ascii="Calibri" w:cs="Calibri" w:eastAsia="Calibri" w:hAnsi="Calibri"/>
          <w:color w:val="222222"/>
          <w:sz w:val="22"/>
          <w:szCs w:val="22"/>
        </w:rPr>
        <w:t xml:space="preserve">Suppliers holding a valid ICV certificate receive weighted preference in evaluation. Bukhatir Group shall progressively increase local content share in line with UAE national policy.</w:t>
      </w:r>
    </w:p>
    <w:p>
      <w:pPr>
        <w:pStyle w:val="Heading1"/>
        <w:pBdr>
          <w:bottom w:val="single" w:color="1F3864" w:sz="18" w:space="4"/>
        </w:pBdr>
        <w:spacing w:after="160" w:before="320"/>
      </w:pPr>
      <w:r>
        <w:rPr>
          <w:rFonts w:ascii="Calibri" w:cs="Calibri" w:eastAsia="Calibri" w:hAnsi="Calibri"/>
          <w:b/>
          <w:bCs/>
          <w:color w:val="1F3864"/>
          <w:sz w:val="30"/>
          <w:szCs w:val="30"/>
        </w:rPr>
        <w:t xml:space="preserve">6. Monitoring</w:t>
      </w:r>
    </w:p>
    <w:p>
      <w:pPr>
        <w:spacing w:after="60" w:before="60" w:line="290"/>
        <w:jc w:val="both"/>
      </w:pPr>
      <w:r>
        <w:rPr>
          <w:rFonts w:ascii="Calibri" w:cs="Calibri" w:eastAsia="Calibri" w:hAnsi="Calibri"/>
          <w:color w:val="222222"/>
          <w:sz w:val="22"/>
          <w:szCs w:val="22"/>
        </w:rPr>
        <w:t xml:space="preserve">ESG performance is tracked in the Supplier Scorecard and reported quarterly to the GSC–BU Steering Committee.</w:t>
      </w:r>
    </w:p>
    <w:p>
      <w:pPr>
        <w:pStyle w:val="Heading1"/>
        <w:pBdr>
          <w:bottom w:val="single" w:color="1F3864" w:sz="18" w:space="4"/>
        </w:pBdr>
        <w:spacing w:after="160" w:before="320"/>
      </w:pPr>
      <w:r>
        <w:rPr>
          <w:rFonts w:ascii="Calibri" w:cs="Calibri" w:eastAsia="Calibri" w:hAnsi="Calibri"/>
          <w:b/>
          <w:bCs/>
          <w:color w:val="1F3864"/>
          <w:sz w:val="30"/>
          <w:szCs w:val="30"/>
        </w:rPr>
        <w:t xml:space="preserve">7. Reference Form</w:t>
      </w:r>
    </w:p>
    <w:p>
      <w:pPr>
        <w:spacing w:after="60" w:before="60" w:line="290"/>
        <w:jc w:val="both"/>
      </w:pPr>
      <w:r>
        <w:rPr>
          <w:rFonts w:ascii="Calibri" w:cs="Calibri" w:eastAsia="Calibri" w:hAnsi="Calibri"/>
          <w:color w:val="222222"/>
          <w:sz w:val="22"/>
          <w:szCs w:val="22"/>
        </w:rPr>
        <w:t xml:space="preserve">Form F-ESG-01 — Supplier ESG Self-Assessment Questionnaire.</w:t>
      </w:r>
    </w:p>
    <w:p>
      <w:pPr>
        <w:pStyle w:val="Heading1"/>
        <w:pBdr>
          <w:bottom w:val="single" w:color="1F3864" w:sz="18" w:space="4"/>
        </w:pBdr>
        <w:spacing w:after="160" w:before="320"/>
      </w:pPr>
      <w:r>
        <w:rPr>
          <w:rFonts w:ascii="Calibri" w:cs="Calibri" w:eastAsia="Calibri" w:hAnsi="Calibri"/>
          <w:b/>
          <w:bCs/>
          <w:color w:val="1F3864"/>
          <w:sz w:val="30"/>
          <w:szCs w:val="30"/>
        </w:rPr>
        <w:t xml:space="preserve">8.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ESG</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Environmental Social and Governance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P-POL-013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Sustainable &amp; ESG Procurement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Sustainable &amp; ESG Procurement - P-POL-013</dc:title>
  <dc:creator>Bukhatir Group - Group Supply Chain</dc:creator>
  <cp:lastModifiedBy>Un-named</cp:lastModifiedBy>
  <cp:revision>1</cp:revision>
  <dcterms:created xsi:type="dcterms:W3CDTF">2026-04-13T04:45:55.732Z</dcterms:created>
  <dcterms:modified xsi:type="dcterms:W3CDTF">2026-04-13T04:45:55.732Z</dcterms:modified>
</cp:coreProperties>
</file>

<file path=docProps/custom.xml><?xml version="1.0" encoding="utf-8"?>
<Properties xmlns="http://schemas.openxmlformats.org/officeDocument/2006/custom-properties" xmlns:vt="http://schemas.openxmlformats.org/officeDocument/2006/docPropsVTypes"/>
</file>