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P-POL-012</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Gifts &amp; Hospitality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Gifts &amp; Hospitality</w:t>
      </w:r>
    </w:p>
    <w:p>
      <w:pPr>
        <w:spacing w:after="400"/>
        <w:jc w:val="center"/>
      </w:pPr>
      <w:r>
        <w:rPr>
          <w:rFonts w:ascii="Calibri" w:cs="Calibri" w:eastAsia="Calibri" w:hAnsi="Calibri"/>
          <w:i/>
          <w:iCs/>
          <w:color w:val="6B7280"/>
          <w:sz w:val="24"/>
          <w:szCs w:val="24"/>
        </w:rPr>
        <w:t xml:space="preserve">Thresholds, Disclosure &amp; Prohibitions</w:t>
      </w:r>
    </w:p>
    <w:p>
      <w:pPr>
        <w:spacing w:after="600" w:before="600"/>
      </w:pPr>
      <w:r>
        <w:t xml:space="preserve"/>
      </w:r>
    </w:p>
    <w:p>
      <w:pPr>
        <w:jc w:val="center"/>
      </w:pPr>
      <w:r>
        <w:rPr>
          <w:rFonts w:ascii="Calibri" w:cs="Calibri" w:eastAsia="Calibri" w:hAnsi="Calibri"/>
          <w:b/>
          <w:bCs/>
          <w:color w:val="1F3864"/>
          <w:sz w:val="28"/>
          <w:szCs w:val="28"/>
        </w:rPr>
        <w:t xml:space="preserve">Document No: P-POL-012</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Gifts &amp; Hospitality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Gifts &amp; Hospitality</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acceptable limits and disclosure requirements for gifts, hospitality, entertainment and travel offered to or by Bukhatir Group procurement staff, to protect the Group from undue influence, bribery and reputational harm.</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employees, directors, agents and contractors of the Group in their dealings with suppliers, potential suppliers, customers and other business counterparties.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General Principle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TRANSPARENCY &amp; PROPORTIONALITY</w:t>
            </w:r>
          </w:p>
          <w:p>
            <w:pPr>
              <w:spacing w:before="80"/>
            </w:pPr>
            <w:r>
              <w:rPr>
                <w:rFonts w:ascii="Calibri" w:cs="Calibri" w:eastAsia="Calibri" w:hAnsi="Calibri"/>
                <w:color w:val="333333"/>
                <w:sz w:val="20"/>
                <w:szCs w:val="20"/>
              </w:rPr>
              <w:t xml:space="preserve">Gifts and hospitality must be infrequent, modest, transparent, directly related to a legitimate business purpose, and never linked (directly or indirectly) to any procurement decision.</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Thresholds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800"/>
        <w:gridCol w:w="4160"/>
      </w:tblGrid>
      <w:tr>
        <w:trPr>
          <w:tblHeader/>
        </w:trPr>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Category</w:t>
            </w:r>
          </w:p>
        </w:tc>
        <w:tc>
          <w:tcPr>
            <w:tcW w:type="dxa" w:w="2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De-Minimis Limit</w:t>
            </w:r>
          </w:p>
        </w:tc>
        <w:tc>
          <w:tcPr>
            <w:tcW w:type="dxa" w:w="4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Approval Required Above Limit</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Promotional items (pens, mugs)</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100</w:t>
            </w:r>
          </w:p>
        </w:tc>
        <w:tc>
          <w:tcPr>
            <w:tcW w:type="dxa" w:w="4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N/A — generally permitted</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Gifts received</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250 per item / AED 500 per year</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Line Manager + Compliance</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meals</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300 per person</w:t>
            </w:r>
          </w:p>
        </w:tc>
        <w:tc>
          <w:tcPr>
            <w:tcW w:type="dxa" w:w="4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Line Manager</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Events / hospitality</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750 per event</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Head of Supply Chain + Compliance</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Travel &amp; accommodation</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permitted</w:t>
            </w:r>
          </w:p>
        </w:tc>
        <w:tc>
          <w:tcPr>
            <w:tcW w:type="dxa" w:w="4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 pre-approval mandatory</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Cash or cash equivalents</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PROHIBITED</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Never</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Disclosure</w:t>
      </w:r>
    </w:p>
    <w:p>
      <w:pPr>
        <w:spacing w:after="60" w:before="60" w:line="290"/>
        <w:jc w:val="both"/>
      </w:pPr>
      <w:r>
        <w:rPr>
          <w:rFonts w:ascii="Calibri" w:cs="Calibri" w:eastAsia="Calibri" w:hAnsi="Calibri"/>
          <w:color w:val="222222"/>
          <w:sz w:val="22"/>
          <w:szCs w:val="22"/>
        </w:rPr>
        <w:t xml:space="preserve">All gifts and hospitality received above the de minimis threshold shall be logged in the Group Gifts &amp; Hospitality Register within 5 working days of receipt. The Register is reviewed monthly by Compliance.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6. Prohibited Circumstances</w:t>
      </w:r>
    </w:p>
    <w:p>
      <w:pPr>
        <w:pStyle w:val="ListParagraph"/>
        <w:numPr>
          <w:ilvl w:val="0"/>
          <w:numId w:val="2"/>
        </w:numPr>
        <w:spacing w:after="40" w:before="40"/>
      </w:pPr>
      <w:r>
        <w:rPr>
          <w:rFonts w:ascii="Calibri" w:cs="Calibri" w:eastAsia="Calibri" w:hAnsi="Calibri"/>
          <w:color w:val="222222"/>
          <w:sz w:val="22"/>
          <w:szCs w:val="22"/>
        </w:rPr>
        <w:t xml:space="preserve">During any active tender, evaluation or negotiation.</w:t>
      </w:r>
    </w:p>
    <w:p>
      <w:pPr>
        <w:pStyle w:val="ListParagraph"/>
        <w:numPr>
          <w:ilvl w:val="0"/>
          <w:numId w:val="2"/>
        </w:numPr>
        <w:spacing w:after="40" w:before="40"/>
      </w:pPr>
      <w:r>
        <w:rPr>
          <w:rFonts w:ascii="Calibri" w:cs="Calibri" w:eastAsia="Calibri" w:hAnsi="Calibri"/>
          <w:color w:val="222222"/>
          <w:sz w:val="22"/>
          <w:szCs w:val="22"/>
        </w:rPr>
        <w:t xml:space="preserve">From any supplier currently under dispute, investigation or performance review.</w:t>
      </w:r>
    </w:p>
    <w:p>
      <w:pPr>
        <w:pStyle w:val="ListParagraph"/>
        <w:numPr>
          <w:ilvl w:val="0"/>
          <w:numId w:val="2"/>
        </w:numPr>
        <w:spacing w:after="40" w:before="40"/>
      </w:pPr>
      <w:r>
        <w:rPr>
          <w:rFonts w:ascii="Calibri" w:cs="Calibri" w:eastAsia="Calibri" w:hAnsi="Calibri"/>
          <w:color w:val="222222"/>
          <w:sz w:val="22"/>
          <w:szCs w:val="22"/>
        </w:rPr>
        <w:t xml:space="preserve">Cash, gift cards or cash-equivalent instruments of any value.</w:t>
      </w:r>
    </w:p>
    <w:p>
      <w:pPr>
        <w:pStyle w:val="ListParagraph"/>
        <w:numPr>
          <w:ilvl w:val="0"/>
          <w:numId w:val="2"/>
        </w:numPr>
        <w:spacing w:after="40" w:before="40"/>
      </w:pPr>
      <w:r>
        <w:rPr>
          <w:rFonts w:ascii="Calibri" w:cs="Calibri" w:eastAsia="Calibri" w:hAnsi="Calibri"/>
          <w:color w:val="222222"/>
          <w:sz w:val="22"/>
          <w:szCs w:val="22"/>
        </w:rPr>
        <w:t xml:space="preserve">Any benefit to a family member intended to influence the employee.</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Reference Form</w:t>
      </w:r>
    </w:p>
    <w:p>
      <w:pPr>
        <w:spacing w:after="60" w:before="60" w:line="290"/>
        <w:jc w:val="both"/>
      </w:pPr>
      <w:r>
        <w:rPr>
          <w:rFonts w:ascii="Calibri" w:cs="Calibri" w:eastAsia="Calibri" w:hAnsi="Calibri"/>
          <w:color w:val="222222"/>
          <w:sz w:val="22"/>
          <w:szCs w:val="22"/>
        </w:rPr>
        <w:t xml:space="preserve">Form F-GH-01 — Gifts &amp; Hospitality Disclosure Form.</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Conflict of Interest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P-POL-012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Gifts &amp; Hospitality</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Gifts &amp; Hospitality - P-POL-012</dc:title>
  <dc:creator>Bukhatir Group - Group Supply Chain</dc:creator>
  <cp:lastModifiedBy>Un-named</cp:lastModifiedBy>
  <cp:revision>1</cp:revision>
  <dcterms:created xsi:type="dcterms:W3CDTF">2026-04-13T04:45:55.723Z</dcterms:created>
  <dcterms:modified xsi:type="dcterms:W3CDTF">2026-04-13T04:45:55.723Z</dcterms:modified>
</cp:coreProperties>
</file>

<file path=docProps/custom.xml><?xml version="1.0" encoding="utf-8"?>
<Properties xmlns="http://schemas.openxmlformats.org/officeDocument/2006/custom-properties" xmlns:vt="http://schemas.openxmlformats.org/officeDocument/2006/docPropsVTypes"/>
</file>