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2600"/>
        <w:gridCol w:w="4160"/>
      </w:tblGrid>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Group Policy &amp; Procedure</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Document No.</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bCs/>
                <w:color w:val="222222"/>
                <w:sz w:val="20"/>
                <w:szCs w:val="20"/>
              </w:rPr>
              <w:t xml:space="preserve">P-POL-011</w:t>
            </w:r>
          </w:p>
        </w:tc>
      </w:tr>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Group Supply Chain</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Ver. No. | Rev Date</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0.4 | 08 APR 2026</w:t>
            </w:r>
          </w:p>
        </w:tc>
      </w:tr>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Title: Conflict of Interest</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Effective Date</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08 April 2026</w:t>
            </w:r>
          </w:p>
        </w:tc>
      </w:tr>
    </w:tbl>
    <w:p>
      <w:pPr>
        <w:spacing w:after="300" w:before="300"/>
      </w:pPr>
      <w:r>
        <w:t xml:space="preserve"/>
      </w:r>
    </w:p>
    <w:p>
      <w:pPr>
        <w:shd w:fill="1F3864" w:val="clear"/>
        <w:spacing w:after="100" w:before="200"/>
        <w:jc w:val="center"/>
      </w:pPr>
      <w:r>
        <w:rPr>
          <w:rFonts w:ascii="Calibri" w:cs="Calibri" w:eastAsia="Calibri" w:hAnsi="Calibri"/>
          <w:b/>
          <w:bCs/>
          <w:color w:val="FFFFFF"/>
          <w:sz w:val="44"/>
          <w:szCs w:val="44"/>
        </w:rPr>
        <w:t xml:space="preserve">BUKHATIR GROUP</w:t>
      </w:r>
    </w:p>
    <w:p>
      <w:pPr>
        <w:shd w:fill="2E75B6" w:val="clear"/>
        <w:spacing w:after="100" w:before="0"/>
        <w:jc w:val="center"/>
      </w:pPr>
      <w:r>
        <w:rPr>
          <w:rFonts w:ascii="Calibri" w:cs="Calibri" w:eastAsia="Calibri" w:hAnsi="Calibri"/>
          <w:i/>
          <w:iCs/>
          <w:color w:val="FFFFFF"/>
          <w:sz w:val="26"/>
          <w:szCs w:val="26"/>
        </w:rPr>
        <w:t xml:space="preserve">Strength through Diversity</w:t>
      </w:r>
    </w:p>
    <w:p>
      <w:pPr>
        <w:spacing w:after="400" w:before="400"/>
      </w:pPr>
      <w:r>
        <w:t xml:space="preserve"/>
      </w:r>
    </w:p>
    <w:p>
      <w:pPr>
        <w:spacing w:after="100" w:before="400"/>
        <w:jc w:val="center"/>
      </w:pPr>
      <w:r>
        <w:rPr>
          <w:rFonts w:ascii="Calibri" w:cs="Calibri" w:eastAsia="Calibri" w:hAnsi="Calibri"/>
          <w:b/>
          <w:bCs/>
          <w:color w:val="1F3864"/>
          <w:sz w:val="40"/>
          <w:szCs w:val="40"/>
        </w:rPr>
        <w:t xml:space="preserve">Group Policy and Procedure</w:t>
      </w:r>
    </w:p>
    <w:p>
      <w:pPr>
        <w:spacing w:after="600"/>
        <w:jc w:val="center"/>
      </w:pPr>
      <w:r>
        <w:rPr>
          <w:rFonts w:ascii="Calibri" w:cs="Calibri" w:eastAsia="Calibri" w:hAnsi="Calibri"/>
          <w:color w:val="2E75B6"/>
          <w:sz w:val="30"/>
          <w:szCs w:val="30"/>
        </w:rPr>
        <w:t xml:space="preserve">Group Supply Chain (GSC)</w:t>
      </w:r>
    </w:p>
    <w:p>
      <w:pPr>
        <w:spacing w:after="200"/>
        <w:jc w:val="center"/>
      </w:pPr>
      <w:r>
        <w:rPr>
          <w:rFonts w:ascii="Calibri" w:cs="Calibri" w:eastAsia="Calibri" w:hAnsi="Calibri"/>
          <w:b/>
          <w:bCs/>
          <w:color w:val="1F3864"/>
          <w:sz w:val="44"/>
          <w:szCs w:val="44"/>
        </w:rPr>
        <w:t xml:space="preserve">Conflict of Interest</w:t>
      </w:r>
    </w:p>
    <w:p>
      <w:pPr>
        <w:spacing w:after="400"/>
        <w:jc w:val="center"/>
      </w:pPr>
      <w:r>
        <w:rPr>
          <w:rFonts w:ascii="Calibri" w:cs="Calibri" w:eastAsia="Calibri" w:hAnsi="Calibri"/>
          <w:i/>
          <w:iCs/>
          <w:color w:val="6B7280"/>
          <w:sz w:val="24"/>
          <w:szCs w:val="24"/>
        </w:rPr>
        <w:t xml:space="preserve">Disclosure, Recusal &amp; Monitoring</w:t>
      </w:r>
    </w:p>
    <w:p>
      <w:pPr>
        <w:spacing w:after="600" w:before="600"/>
      </w:pPr>
      <w:r>
        <w:t xml:space="preserve"/>
      </w:r>
    </w:p>
    <w:p>
      <w:pPr>
        <w:jc w:val="center"/>
      </w:pPr>
      <w:r>
        <w:rPr>
          <w:rFonts w:ascii="Calibri" w:cs="Calibri" w:eastAsia="Calibri" w:hAnsi="Calibri"/>
          <w:b/>
          <w:bCs/>
          <w:color w:val="1F3864"/>
          <w:sz w:val="28"/>
          <w:szCs w:val="28"/>
        </w:rPr>
        <w:t xml:space="preserve">Document No: P-POL-011</w:t>
      </w:r>
    </w:p>
    <w:p>
      <w:pPr>
        <w:spacing w:after="400" w:before="400"/>
      </w:pPr>
      <w:r>
        <w:t xml:space="preserve"/>
      </w:r>
    </w:p>
    <w:p>
      <w:pPr>
        <w:pBdr>
          <w:top w:val="single" w:color="C9A961" w:sz="12"/>
        </w:pBdr>
        <w:jc w:val="center"/>
      </w:pPr>
      <w:r>
        <w:rPr>
          <w:rFonts w:ascii="Calibri" w:cs="Calibri" w:eastAsia="Calibri" w:hAnsi="Calibri"/>
          <w:color w:val="6B7280"/>
          <w:sz w:val="18"/>
          <w:szCs w:val="18"/>
        </w:rPr>
        <w:t xml:space="preserve">Copyright © 2026 Bukhatir Group</w:t>
      </w:r>
    </w:p>
    <w:p>
      <w:r>
        <w:br w:type="page"/>
      </w:r>
    </w:p>
    <w:p>
      <w:pPr>
        <w:pStyle w:val="Heading1"/>
        <w:pBdr>
          <w:bottom w:val="single" w:color="1F3864" w:sz="18" w:space="4"/>
        </w:pBdr>
        <w:spacing w:after="160" w:before="320"/>
      </w:pPr>
      <w:r>
        <w:rPr>
          <w:rFonts w:ascii="Calibri" w:cs="Calibri" w:eastAsia="Calibri" w:hAnsi="Calibri"/>
          <w:b/>
          <w:bCs/>
          <w:color w:val="1F3864"/>
          <w:sz w:val="30"/>
          <w:szCs w:val="30"/>
        </w:rPr>
        <w:t xml:space="preserve">Revision Control</w:t>
      </w:r>
    </w:p>
    <w:p>
      <w:pPr>
        <w:spacing w:after="60" w:before="60" w:line="290"/>
        <w:jc w:val="both"/>
      </w:pPr>
      <w:r>
        <w:rPr>
          <w:rFonts w:ascii="Calibri" w:cs="Calibri" w:eastAsia="Calibri" w:hAnsi="Calibri"/>
          <w:color w:val="222222"/>
          <w:sz w:val="22"/>
          <w:szCs w:val="22"/>
        </w:rPr>
        <w:t xml:space="preserve">This document is issued under the authority of Bukhatir Group and applies when carrying out the activities described. Revisions may be issued as necessary under the authority of the Group Head of Procurement. Revision history is recorded below with every revised policy.</w:t>
      </w:r>
    </w:p>
    <w:p>
      <w:pPr>
        <w:spacing w:after="100" w:before="100"/>
      </w:pPr>
      <w:r>
        <w:t xml:space="preserve"/>
      </w:r>
    </w:p>
    <w:p>
      <w:pPr>
        <w:pStyle w:val="Heading2"/>
        <w:spacing w:after="100" w:before="220"/>
      </w:pPr>
      <w:r>
        <w:rPr>
          <w:rFonts w:ascii="Calibri" w:cs="Calibri" w:eastAsia="Calibri" w:hAnsi="Calibri"/>
          <w:b/>
          <w:bCs/>
          <w:color w:val="2E75B6"/>
          <w:sz w:val="26"/>
          <w:szCs w:val="26"/>
        </w:rPr>
        <w:t xml:space="preserve">Revision History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2500"/>
        <w:gridCol w:w="5060"/>
      </w:tblGrid>
      <w:tr>
        <w:trPr>
          <w:tblHeader/>
        </w:trPr>
        <w:tc>
          <w:tcPr>
            <w:tcW w:type="dxa" w:w="1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Ver. No.</w:t>
            </w:r>
          </w:p>
        </w:tc>
        <w:tc>
          <w:tcPr>
            <w:tcW w:type="dxa" w:w="25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Effective Date</w:t>
            </w:r>
          </w:p>
        </w:tc>
        <w:tc>
          <w:tcPr>
            <w:tcW w:type="dxa" w:w="50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Description</w:t>
            </w:r>
          </w:p>
        </w:tc>
      </w:tr>
      <w:tr>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02</w:t>
            </w:r>
          </w:p>
        </w:tc>
        <w:tc>
          <w:tcPr>
            <w:tcW w:type="dxa" w:w="25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September 2016</w:t>
            </w:r>
          </w:p>
        </w:tc>
        <w:tc>
          <w:tcPr>
            <w:tcW w:type="dxa" w:w="50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Original Procurement Policy</w:t>
            </w:r>
          </w:p>
        </w:tc>
      </w:tr>
      <w:tr>
        <w:tc>
          <w:tcPr>
            <w:tcW w:type="dxa" w:w="1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0.3</w:t>
            </w:r>
          </w:p>
        </w:tc>
        <w:tc>
          <w:tcPr>
            <w:tcW w:type="dxa" w:w="25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March 2026</w:t>
            </w:r>
          </w:p>
        </w:tc>
        <w:tc>
          <w:tcPr>
            <w:tcW w:type="dxa" w:w="50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Procurement Policy – Conflict of Interest</w:t>
            </w:r>
          </w:p>
        </w:tc>
      </w:tr>
      <w:tr>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0.4</w:t>
            </w:r>
          </w:p>
        </w:tc>
        <w:tc>
          <w:tcPr>
            <w:tcW w:type="dxa" w:w="25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08 April 2026</w:t>
            </w:r>
          </w:p>
        </w:tc>
        <w:tc>
          <w:tcPr>
            <w:tcW w:type="dxa" w:w="50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Redesign, content modernization &amp; flowcharts – Conflict of Interest</w:t>
            </w:r>
          </w:p>
        </w:tc>
      </w:tr>
    </w:tbl>
    <w:p>
      <w:pPr>
        <w:spacing w:after="200" w:before="200"/>
      </w:pPr>
      <w:r>
        <w:t xml:space="preserve"/>
      </w:r>
    </w:p>
    <w:p>
      <w:pPr>
        <w:pStyle w:val="Heading2"/>
        <w:spacing w:after="100" w:before="220"/>
      </w:pPr>
      <w:r>
        <w:rPr>
          <w:rFonts w:ascii="Calibri" w:cs="Calibri" w:eastAsia="Calibri" w:hAnsi="Calibri"/>
          <w:b/>
          <w:bCs/>
          <w:color w:val="2E75B6"/>
          <w:sz w:val="26"/>
          <w:szCs w:val="26"/>
        </w:rPr>
        <w:t xml:space="preserve">Revision Sign-Off</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000"/>
        <w:gridCol w:w="3360"/>
        <w:gridCol w:w="2000"/>
      </w:tblGrid>
      <w:tr>
        <w:trPr>
          <w:tblHeader/>
        </w:trPr>
        <w:tc>
          <w:tcPr>
            <w:tcW w:type="dxa" w:w="40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Approving Committee</w:t>
            </w:r>
          </w:p>
        </w:tc>
        <w:tc>
          <w:tcPr>
            <w:tcW w:type="dxa" w:w="33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Name</w:t>
            </w:r>
          </w:p>
        </w:tc>
        <w:tc>
          <w:tcPr>
            <w:tcW w:type="dxa" w:w="20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Signature</w:t>
            </w:r>
          </w:p>
        </w:tc>
      </w:tr>
      <w:tr>
        <w:tc>
          <w:tcPr>
            <w:tcW w:type="dxa" w:w="4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Endorsed by — Group Head of Supply Chain</w:t>
            </w:r>
          </w:p>
        </w:tc>
        <w:tc>
          <w:tcPr>
            <w:tcW w:type="dxa" w:w="3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Mohamad Koussa</w:t>
            </w:r>
          </w:p>
        </w:tc>
        <w:tc>
          <w:tcPr>
            <w:tcW w:type="dxa" w:w="2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Reviewed by — BIIL CEO</w:t>
            </w:r>
          </w:p>
        </w:tc>
        <w:tc>
          <w:tcPr>
            <w:tcW w:type="dxa" w:w="3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Mr. Ayman Ismail</w:t>
            </w:r>
          </w:p>
        </w:tc>
        <w:tc>
          <w:tcPr>
            <w:tcW w:type="dxa" w:w="2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Reviewed by — Group Chief Financial Officer</w:t>
            </w:r>
          </w:p>
        </w:tc>
        <w:tc>
          <w:tcPr>
            <w:tcW w:type="dxa" w:w="3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Mohamad Adnaan Sait</w:t>
            </w:r>
          </w:p>
        </w:tc>
        <w:tc>
          <w:tcPr>
            <w:tcW w:type="dxa" w:w="2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Approved by — Group Vice Chairman &amp; Group CEO</w:t>
            </w:r>
          </w:p>
        </w:tc>
        <w:tc>
          <w:tcPr>
            <w:tcW w:type="dxa" w:w="3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Mr. Salah Bukhatir</w:t>
            </w:r>
          </w:p>
        </w:tc>
        <w:tc>
          <w:tcPr>
            <w:tcW w:type="dxa" w:w="2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bl>
    <w:p>
      <w:pPr>
        <w:spacing w:after="200" w:before="200"/>
      </w:pPr>
      <w:r>
        <w:t xml:space="preserve"/>
      </w:r>
    </w:p>
    <w:p>
      <w:pPr>
        <w:pStyle w:val="Heading2"/>
        <w:spacing w:after="100" w:before="220"/>
      </w:pPr>
      <w:r>
        <w:rPr>
          <w:rFonts w:ascii="Calibri" w:cs="Calibri" w:eastAsia="Calibri" w:hAnsi="Calibri"/>
          <w:b/>
          <w:bCs/>
          <w:color w:val="2E75B6"/>
          <w:sz w:val="26"/>
          <w:szCs w:val="26"/>
        </w:rPr>
        <w:t xml:space="preserve">Distribution List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0"/>
        <w:gridCol w:w="8560"/>
      </w:tblGrid>
      <w:tr>
        <w:trPr>
          <w:tblHeader/>
        </w:trPr>
        <w:tc>
          <w:tcPr>
            <w:tcW w:type="dxa" w:w="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w:t>
            </w:r>
          </w:p>
        </w:tc>
        <w:tc>
          <w:tcPr>
            <w:tcW w:type="dxa" w:w="85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Departments</w:t>
            </w:r>
          </w:p>
        </w:tc>
      </w:tr>
      <w:tr>
        <w:tc>
          <w:tcPr>
            <w:tcW w:type="dxa" w:w="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1</w:t>
            </w:r>
          </w:p>
        </w:tc>
        <w:tc>
          <w:tcPr>
            <w:tcW w:type="dxa" w:w="8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 Procurement Departments</w:t>
            </w:r>
          </w:p>
        </w:tc>
      </w:tr>
      <w:tr>
        <w:tc>
          <w:tcPr>
            <w:tcW w:type="dxa" w:w="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2</w:t>
            </w:r>
          </w:p>
        </w:tc>
        <w:tc>
          <w:tcPr>
            <w:tcW w:type="dxa" w:w="8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Group Supply Chain (GSC)</w:t>
            </w:r>
          </w:p>
        </w:tc>
      </w:tr>
      <w:tr>
        <w:tc>
          <w:tcPr>
            <w:tcW w:type="dxa" w:w="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3</w:t>
            </w:r>
          </w:p>
        </w:tc>
        <w:tc>
          <w:tcPr>
            <w:tcW w:type="dxa" w:w="8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Finance, Legal, Compliance, Internal Audit</w:t>
            </w:r>
          </w:p>
        </w:tc>
      </w:tr>
      <w:tr>
        <w:tc>
          <w:tcPr>
            <w:tcW w:type="dxa" w:w="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4</w:t>
            </w:r>
          </w:p>
        </w:tc>
        <w:tc>
          <w:tcPr>
            <w:tcW w:type="dxa" w:w="8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 Management</w:t>
            </w:r>
          </w:p>
        </w:tc>
      </w:tr>
    </w:tbl>
    <w:p>
      <w:r>
        <w:br w:type="page"/>
      </w:r>
    </w:p>
    <w:p>
      <w:pPr>
        <w:pStyle w:val="Heading1"/>
        <w:pBdr>
          <w:bottom w:val="single" w:color="1F3864" w:sz="18" w:space="4"/>
        </w:pBdr>
        <w:spacing w:after="160" w:before="320"/>
      </w:pPr>
      <w:r>
        <w:rPr>
          <w:rFonts w:ascii="Calibri" w:cs="Calibri" w:eastAsia="Calibri" w:hAnsi="Calibri"/>
          <w:b/>
          <w:bCs/>
          <w:color w:val="1F3864"/>
          <w:sz w:val="30"/>
          <w:szCs w:val="30"/>
        </w:rPr>
        <w:t xml:space="preserve">1. Purpose</w:t>
      </w:r>
    </w:p>
    <w:p>
      <w:pPr>
        <w:spacing w:after="60" w:before="60" w:line="290"/>
        <w:jc w:val="both"/>
      </w:pPr>
      <w:r>
        <w:rPr>
          <w:rFonts w:ascii="Calibri" w:cs="Calibri" w:eastAsia="Calibri" w:hAnsi="Calibri"/>
          <w:color w:val="222222"/>
          <w:sz w:val="22"/>
          <w:szCs w:val="22"/>
        </w:rPr>
        <w:t xml:space="preserve">This policy defines how actual, potential and perceived conflicts of interest are identified, declared, managed and monitored in the procurement lifecycle.</w:t>
      </w:r>
    </w:p>
    <w:p>
      <w:pPr>
        <w:pStyle w:val="Heading1"/>
        <w:pBdr>
          <w:bottom w:val="single" w:color="1F3864" w:sz="18" w:space="4"/>
        </w:pBdr>
        <w:spacing w:after="160" w:before="320"/>
      </w:pPr>
      <w:r>
        <w:rPr>
          <w:rFonts w:ascii="Calibri" w:cs="Calibri" w:eastAsia="Calibri" w:hAnsi="Calibri"/>
          <w:b/>
          <w:bCs/>
          <w:color w:val="1F3864"/>
          <w:sz w:val="30"/>
          <w:szCs w:val="30"/>
        </w:rPr>
        <w:t xml:space="preserve">2. Scope</w:t>
      </w:r>
    </w:p>
    <w:p>
      <w:pPr>
        <w:spacing w:after="60" w:before="60" w:line="290"/>
        <w:jc w:val="both"/>
      </w:pPr>
      <w:r>
        <w:rPr>
          <w:rFonts w:ascii="Calibri" w:cs="Calibri" w:eastAsia="Calibri" w:hAnsi="Calibri"/>
          <w:color w:val="222222"/>
          <w:sz w:val="22"/>
          <w:szCs w:val="22"/>
        </w:rPr>
        <w:t xml:space="preserve">Applies to all employees, approvers, evaluators and committee members involved in any procurement decision, supplier selection or contract administration activity.</w:t>
      </w:r>
    </w:p>
    <w:p>
      <w:pPr>
        <w:pStyle w:val="Heading1"/>
        <w:pBdr>
          <w:bottom w:val="single" w:color="1F3864" w:sz="18" w:space="4"/>
        </w:pBdr>
        <w:spacing w:after="160" w:before="320"/>
      </w:pPr>
      <w:r>
        <w:rPr>
          <w:rFonts w:ascii="Calibri" w:cs="Calibri" w:eastAsia="Calibri" w:hAnsi="Calibri"/>
          <w:b/>
          <w:bCs/>
          <w:color w:val="1F3864"/>
          <w:sz w:val="30"/>
          <w:szCs w:val="30"/>
        </w:rPr>
        <w:t xml:space="preserve">3. Definition</w:t>
      </w:r>
    </w:p>
    <w:p>
      <w:pPr>
        <w:spacing w:after="60" w:before="60" w:line="290"/>
        <w:jc w:val="both"/>
      </w:pPr>
      <w:r>
        <w:rPr>
          <w:rFonts w:ascii="Calibri" w:cs="Calibri" w:eastAsia="Calibri" w:hAnsi="Calibri"/>
          <w:color w:val="222222"/>
          <w:sz w:val="22"/>
          <w:szCs w:val="22"/>
        </w:rPr>
        <w:t xml:space="preserve">A conflict of interest arises when personal, financial, family or other external interests of an individual could improperly influence — or appear to influence — the impartial performance of their procurement duties.</w:t>
      </w:r>
    </w:p>
    <w:p>
      <w:pPr>
        <w:pStyle w:val="Heading1"/>
        <w:pBdr>
          <w:bottom w:val="single" w:color="1F3864" w:sz="18" w:space="4"/>
        </w:pBdr>
        <w:spacing w:after="160" w:before="320"/>
      </w:pPr>
      <w:r>
        <w:rPr>
          <w:rFonts w:ascii="Calibri" w:cs="Calibri" w:eastAsia="Calibri" w:hAnsi="Calibri"/>
          <w:b/>
          <w:bCs/>
          <w:color w:val="1F3864"/>
          <w:sz w:val="30"/>
          <w:szCs w:val="30"/>
        </w:rPr>
        <w:t xml:space="preserve">4. Categories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7160"/>
      </w:tblGrid>
      <w:tr>
        <w:trPr>
          <w:tblHeader/>
        </w:trPr>
        <w:tc>
          <w:tcPr>
            <w:tcW w:type="dxa" w:w="22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Category</w:t>
            </w:r>
          </w:p>
        </w:tc>
        <w:tc>
          <w:tcPr>
            <w:tcW w:type="dxa" w:w="71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Examples</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Financial</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Shareholding, directorship, commissions, loans or consultancy fees with a supplier</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Personal / Family</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Relative, spouse, close friend employed by or owning a supplier</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Professional</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Prior employment with supplier within 2 years, board positions, side-businesses</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Gifts &amp; Hospitality</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Receipt of gifts above de minimis threshold (see P-POL-012)</w:t>
            </w:r>
          </w:p>
        </w:tc>
      </w:tr>
    </w:tbl>
    <w:p>
      <w:pPr>
        <w:pStyle w:val="Heading1"/>
        <w:pBdr>
          <w:bottom w:val="single" w:color="1F3864" w:sz="18" w:space="4"/>
        </w:pBdr>
        <w:spacing w:after="160" w:before="320"/>
      </w:pPr>
      <w:r>
        <w:rPr>
          <w:rFonts w:ascii="Calibri" w:cs="Calibri" w:eastAsia="Calibri" w:hAnsi="Calibri"/>
          <w:b/>
          <w:bCs/>
          <w:color w:val="1F3864"/>
          <w:sz w:val="30"/>
          <w:szCs w:val="30"/>
        </w:rPr>
        <w:t xml:space="preserve">5. Declaration Requirements</w:t>
      </w:r>
    </w:p>
    <w:p>
      <w:pPr>
        <w:pStyle w:val="ListParagraph"/>
        <w:numPr>
          <w:ilvl w:val="0"/>
          <w:numId w:val="2"/>
        </w:numPr>
        <w:spacing w:after="40" w:before="40"/>
      </w:pPr>
      <w:r>
        <w:rPr>
          <w:rFonts w:ascii="Calibri" w:cs="Calibri" w:eastAsia="Calibri" w:hAnsi="Calibri"/>
          <w:color w:val="222222"/>
          <w:sz w:val="22"/>
          <w:szCs w:val="22"/>
        </w:rPr>
        <w:t xml:space="preserve">Annual Conflict of Interest Declaration signed by all procurement staff, approvers and committee members.</w:t>
      </w:r>
    </w:p>
    <w:p>
      <w:pPr>
        <w:pStyle w:val="ListParagraph"/>
        <w:numPr>
          <w:ilvl w:val="0"/>
          <w:numId w:val="2"/>
        </w:numPr>
        <w:spacing w:after="40" w:before="40"/>
      </w:pPr>
      <w:r>
        <w:rPr>
          <w:rFonts w:ascii="Calibri" w:cs="Calibri" w:eastAsia="Calibri" w:hAnsi="Calibri"/>
          <w:color w:val="222222"/>
          <w:sz w:val="22"/>
          <w:szCs w:val="22"/>
        </w:rPr>
        <w:t xml:space="preserve">Transaction-level declaration on every Purchase Requisition raised in Oracle.</w:t>
      </w:r>
    </w:p>
    <w:p>
      <w:pPr>
        <w:pStyle w:val="ListParagraph"/>
        <w:numPr>
          <w:ilvl w:val="0"/>
          <w:numId w:val="2"/>
        </w:numPr>
        <w:spacing w:after="40" w:before="40"/>
      </w:pPr>
      <w:r>
        <w:rPr>
          <w:rFonts w:ascii="Calibri" w:cs="Calibri" w:eastAsia="Calibri" w:hAnsi="Calibri"/>
          <w:color w:val="222222"/>
          <w:sz w:val="22"/>
          <w:szCs w:val="22"/>
        </w:rPr>
        <w:t xml:space="preserve">Immediate written declaration upon becoming aware of any new conflict.</w:t>
      </w:r>
    </w:p>
    <w:p>
      <w:pPr>
        <w:pStyle w:val="Heading1"/>
        <w:pBdr>
          <w:bottom w:val="single" w:color="1F3864" w:sz="18" w:space="4"/>
        </w:pBdr>
        <w:spacing w:after="160" w:before="320"/>
      </w:pPr>
      <w:r>
        <w:rPr>
          <w:rFonts w:ascii="Calibri" w:cs="Calibri" w:eastAsia="Calibri" w:hAnsi="Calibri"/>
          <w:b/>
          <w:bCs/>
          <w:color w:val="1F3864"/>
          <w:sz w:val="30"/>
          <w:szCs w:val="30"/>
        </w:rPr>
        <w:t xml:space="preserve">6. Management Measures</w:t>
      </w:r>
    </w:p>
    <w:p>
      <w:pPr>
        <w:pStyle w:val="ListParagraph"/>
        <w:numPr>
          <w:ilvl w:val="0"/>
          <w:numId w:val="3"/>
        </w:numPr>
        <w:spacing w:after="40" w:before="40"/>
      </w:pPr>
      <w:r>
        <w:rPr>
          <w:rFonts w:ascii="Calibri" w:cs="Calibri" w:eastAsia="Calibri" w:hAnsi="Calibri"/>
          <w:color w:val="222222"/>
          <w:sz w:val="22"/>
          <w:szCs w:val="22"/>
        </w:rPr>
        <w:t xml:space="preserve">Declared conflict logged with Compliance.</w:t>
      </w:r>
    </w:p>
    <w:p>
      <w:pPr>
        <w:pStyle w:val="ListParagraph"/>
        <w:numPr>
          <w:ilvl w:val="0"/>
          <w:numId w:val="3"/>
        </w:numPr>
        <w:spacing w:after="40" w:before="40"/>
      </w:pPr>
      <w:r>
        <w:rPr>
          <w:rFonts w:ascii="Calibri" w:cs="Calibri" w:eastAsia="Calibri" w:hAnsi="Calibri"/>
          <w:color w:val="222222"/>
          <w:sz w:val="22"/>
          <w:szCs w:val="22"/>
        </w:rPr>
        <w:t xml:space="preserve">Affected individual recused from the transaction.</w:t>
      </w:r>
    </w:p>
    <w:p>
      <w:pPr>
        <w:pStyle w:val="ListParagraph"/>
        <w:numPr>
          <w:ilvl w:val="0"/>
          <w:numId w:val="3"/>
        </w:numPr>
        <w:spacing w:after="40" w:before="40"/>
      </w:pPr>
      <w:r>
        <w:rPr>
          <w:rFonts w:ascii="Calibri" w:cs="Calibri" w:eastAsia="Calibri" w:hAnsi="Calibri"/>
          <w:color w:val="222222"/>
          <w:sz w:val="22"/>
          <w:szCs w:val="22"/>
        </w:rPr>
        <w:t xml:space="preserve">Alternate approver/evaluator assigned.</w:t>
      </w:r>
    </w:p>
    <w:p>
      <w:pPr>
        <w:pStyle w:val="ListParagraph"/>
        <w:numPr>
          <w:ilvl w:val="0"/>
          <w:numId w:val="3"/>
        </w:numPr>
        <w:spacing w:after="40" w:before="40"/>
      </w:pPr>
      <w:r>
        <w:rPr>
          <w:rFonts w:ascii="Calibri" w:cs="Calibri" w:eastAsia="Calibri" w:hAnsi="Calibri"/>
          <w:color w:val="222222"/>
          <w:sz w:val="22"/>
          <w:szCs w:val="22"/>
        </w:rPr>
        <w:t xml:space="preserve">Decision documented with full audit trail.</w:t>
      </w:r>
    </w:p>
    <w:p>
      <w:pPr>
        <w:pStyle w:val="Heading1"/>
        <w:pBdr>
          <w:bottom w:val="single" w:color="1F3864" w:sz="18" w:space="4"/>
        </w:pBdr>
        <w:spacing w:after="160" w:before="320"/>
      </w:pPr>
      <w:r>
        <w:rPr>
          <w:rFonts w:ascii="Calibri" w:cs="Calibri" w:eastAsia="Calibri" w:hAnsi="Calibri"/>
          <w:b/>
          <w:bCs/>
          <w:color w:val="1F3864"/>
          <w:sz w:val="30"/>
          <w:szCs w:val="30"/>
        </w:rPr>
        <w:t xml:space="preserve">7. Monitoring &amp; Audit</w:t>
      </w:r>
    </w:p>
    <w:p>
      <w:pPr>
        <w:spacing w:after="60" w:before="60" w:line="290"/>
        <w:jc w:val="both"/>
      </w:pPr>
      <w:r>
        <w:rPr>
          <w:rFonts w:ascii="Calibri" w:cs="Calibri" w:eastAsia="Calibri" w:hAnsi="Calibri"/>
          <w:color w:val="222222"/>
          <w:sz w:val="22"/>
          <w:szCs w:val="22"/>
        </w:rPr>
        <w:t xml:space="preserve">Compliance performs quarterly sampling of declarations against Oracle transaction records. Internal Audit tests the process annually.</w:t>
      </w:r>
    </w:p>
    <w:p>
      <w:pPr>
        <w:pStyle w:val="Heading1"/>
        <w:pBdr>
          <w:bottom w:val="single" w:color="1F3864" w:sz="18" w:space="4"/>
        </w:pBdr>
        <w:spacing w:after="160" w:before="320"/>
      </w:pPr>
      <w:r>
        <w:rPr>
          <w:rFonts w:ascii="Calibri" w:cs="Calibri" w:eastAsia="Calibri" w:hAnsi="Calibri"/>
          <w:b/>
          <w:bCs/>
          <w:color w:val="1F3864"/>
          <w:sz w:val="30"/>
          <w:szCs w:val="30"/>
        </w:rPr>
        <w:t xml:space="preserve">8. Reference Forms</w:t>
      </w:r>
    </w:p>
    <w:p>
      <w:pPr>
        <w:pStyle w:val="ListParagraph"/>
        <w:numPr>
          <w:ilvl w:val="0"/>
          <w:numId w:val="2"/>
        </w:numPr>
        <w:spacing w:after="40" w:before="40"/>
      </w:pPr>
      <w:r>
        <w:rPr>
          <w:rFonts w:ascii="Calibri" w:cs="Calibri" w:eastAsia="Calibri" w:hAnsi="Calibri"/>
          <w:color w:val="222222"/>
          <w:sz w:val="22"/>
          <w:szCs w:val="22"/>
        </w:rPr>
        <w:t xml:space="preserve">Form F-COI-01 — Annual Conflict of Interest Declaration</w:t>
      </w:r>
    </w:p>
    <w:p>
      <w:pPr>
        <w:pStyle w:val="ListParagraph"/>
        <w:numPr>
          <w:ilvl w:val="0"/>
          <w:numId w:val="2"/>
        </w:numPr>
        <w:spacing w:after="40" w:before="40"/>
      </w:pPr>
      <w:r>
        <w:rPr>
          <w:rFonts w:ascii="Calibri" w:cs="Calibri" w:eastAsia="Calibri" w:hAnsi="Calibri"/>
          <w:color w:val="222222"/>
          <w:sz w:val="22"/>
          <w:szCs w:val="22"/>
        </w:rPr>
        <w:t xml:space="preserve">Form F-COI-02 — Transactional Conflict of Interest Declaration</w:t>
      </w:r>
    </w:p>
    <w:p>
      <w:pPr>
        <w:pStyle w:val="Heading1"/>
        <w:pBdr>
          <w:bottom w:val="single" w:color="1F3864" w:sz="18" w:space="4"/>
        </w:pBdr>
        <w:spacing w:after="160" w:before="320"/>
      </w:pPr>
      <w:r>
        <w:rPr>
          <w:rFonts w:ascii="Calibri" w:cs="Calibri" w:eastAsia="Calibri" w:hAnsi="Calibri"/>
          <w:b/>
          <w:bCs/>
          <w:color w:val="1F3864"/>
          <w:sz w:val="30"/>
          <w:szCs w:val="30"/>
        </w:rPr>
        <w:t xml:space="preserve">9. Definitions &amp; Acronyms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7160"/>
      </w:tblGrid>
      <w:tr>
        <w:trPr>
          <w:tblHeader/>
        </w:trPr>
        <w:tc>
          <w:tcPr>
            <w:tcW w:type="dxa" w:w="22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Acronym / Term</w:t>
            </w:r>
          </w:p>
        </w:tc>
        <w:tc>
          <w:tcPr>
            <w:tcW w:type="dxa" w:w="71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Definition</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AED</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United Arab Emirates Dirham</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COI</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Conflict of Interest</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DOA</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Delegation of Authority</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GSC</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Group Supply Chain</w:t>
            </w:r>
          </w:p>
        </w:tc>
      </w:tr>
    </w:tbl>
    <w:sectPr>
      <w:headerReference w:type="default" r:id="rId7"/>
      <w:footerReference w:type="default" r:id="rId8"/>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1F3864" w:sz="6" w:space="4"/>
      </w:pBdr>
      <w:tabs>
        <w:tab w:val="right" w:pos="9026"/>
      </w:tabs>
    </w:pPr>
    <w:r>
      <w:rPr>
        <w:rFonts w:ascii="Calibri" w:cs="Calibri" w:eastAsia="Calibri" w:hAnsi="Calibri"/>
        <w:color w:val="1F3864"/>
        <w:sz w:val="18"/>
        <w:szCs w:val="18"/>
      </w:rPr>
      <w:t xml:space="preserve">P-POL-011  |  Effective: 08 April 2026</w:t>
    </w:r>
    <w:r>
      <w:rPr>
        <w:rFonts w:ascii="Calibri" w:cs="Calibri" w:eastAsia="Calibri" w:hAnsi="Calibri"/>
        <w:color w:val="6B7280"/>
        <w:sz w:val="18"/>
        <w:szCs w:val="18"/>
      </w:rPr>
      <w:t xml:space="preserve">	Page </w:t>
    </w:r>
    <w:r>
      <w:rPr>
        <w:rFonts w:ascii="Calibri" w:cs="Calibri" w:eastAsia="Calibri" w:hAnsi="Calibri"/>
        <w:color w:val="6B7280"/>
        <w:sz w:val="18"/>
        <w:szCs w:val="18"/>
      </w:rPr>
      <w:fldChar w:fldCharType="begin"/>
      <w:instrText xml:space="preserve">PAGE</w:instrText>
      <w:fldChar w:fldCharType="separate"/>
      <w:fldChar w:fldCharType="end"/>
    </w:r>
    <w:r>
      <w:rPr>
        <w:rFonts w:ascii="Calibri" w:cs="Calibri" w:eastAsia="Calibri" w:hAnsi="Calibri"/>
        <w:color w:val="6B7280"/>
        <w:sz w:val="18"/>
        <w:szCs w:val="18"/>
      </w:rPr>
      <w:t xml:space="preserve"> of </w:t>
    </w:r>
    <w:r>
      <w:rPr>
        <w:rFonts w:ascii="Calibri" w:cs="Calibri" w:eastAsia="Calibri" w:hAnsi="Calibri"/>
        <w:color w:val="6B7280"/>
        <w:sz w:val="18"/>
        <w:szCs w:val="18"/>
      </w:rPr>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tbl>
    <w:tblPr>
      <w:tblW w:type="dxa" w:w="9360"/>
      <w:tblBorders>
        <w:top w:val="none"/>
        <w:left w:val="none"/>
        <w:bottom w:val="single" w:color="1F3864" w:sz="6"/>
        <w:right w:val="none"/>
        <w:insideH w:val="none"/>
        <w:insideV w:val="none"/>
      </w:tblBorders>
    </w:tblPr>
    <w:tblGrid>
      <w:gridCol w:w="4200"/>
      <w:gridCol w:w="3000"/>
      <w:gridCol w:w="2160"/>
    </w:tblGrid>
    <w:tr>
      <w:tc>
        <w:tcPr>
          <w:tcW w:type="dxa" w:w="4200"/>
          <w:tcBorders>
            <w:top w:val="none"/>
            <w:left w:val="none"/>
            <w:bottom w:val="single" w:color="1F3864" w:sz="6"/>
            <w:right w:val="none"/>
          </w:tcBorders>
        </w:tcPr>
        <w:p>
          <w:r>
            <w:rPr>
              <w:rFonts w:ascii="Calibri" w:cs="Calibri" w:eastAsia="Calibri" w:hAnsi="Calibri"/>
              <w:b/>
              <w:bCs/>
              <w:color w:val="1F3864"/>
              <w:sz w:val="18"/>
              <w:szCs w:val="18"/>
            </w:rPr>
            <w:t xml:space="preserve">Bukhatir Group | Group Supply Chain</w:t>
          </w:r>
        </w:p>
      </w:tc>
      <w:tc>
        <w:tcPr>
          <w:tcW w:type="dxa" w:w="3000"/>
          <w:tcBorders>
            <w:top w:val="none"/>
            <w:left w:val="none"/>
            <w:bottom w:val="single" w:color="1F3864" w:sz="6"/>
            <w:right w:val="none"/>
          </w:tcBorders>
        </w:tcPr>
        <w:p>
          <w:pPr>
            <w:jc w:val="center"/>
          </w:pPr>
          <w:r>
            <w:rPr>
              <w:rFonts w:ascii="Calibri" w:cs="Calibri" w:eastAsia="Calibri" w:hAnsi="Calibri"/>
              <w:b/>
              <w:bCs/>
              <w:color w:val="2E75B6"/>
              <w:sz w:val="18"/>
              <w:szCs w:val="18"/>
            </w:rPr>
            <w:t xml:space="preserve">Conflict of Interest</w:t>
          </w:r>
        </w:p>
      </w:tc>
      <w:tc>
        <w:tcPr>
          <w:tcW w:type="dxa" w:w="2160"/>
          <w:tcBorders>
            <w:top w:val="none"/>
            <w:left w:val="none"/>
            <w:bottom w:val="single" w:color="1F3864" w:sz="6"/>
            <w:right w:val="none"/>
          </w:tcBorders>
        </w:tcPr>
        <w:p>
          <w:pPr>
            <w:jc w:val="right"/>
          </w:pPr>
          <w:r>
            <w:rPr>
              <w:rFonts w:ascii="Calibri" w:cs="Calibri" w:eastAsia="Calibri" w:hAnsi="Calibri"/>
              <w:color w:val="6B7280"/>
              <w:sz w:val="18"/>
              <w:szCs w:val="18"/>
            </w:rPr>
            <w:t xml:space="preserve">Ver 0.4 | 08 APR 2026</w:t>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40" w:hanging="270"/>
      </w:pPr>
    </w:lvl>
  </w:abstractNum>
  <w:abstractNum w:abstractNumId="3" w15:restartNumberingAfterBreak="0">
    <w:multiLevelType w:val="hybridMultilevel"/>
    <w:lvl w:ilvl="0" w15:tentative="1">
      <w:start w:val="1"/>
      <w:numFmt w:val="decimal"/>
      <w:lvlText w:val="%1."/>
      <w:lvlJc w:val="left"/>
      <w:pPr>
        <w:ind w:left="540" w:hanging="36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60" w:before="320"/>
      <w:outlineLvl w:val="0"/>
    </w:pPr>
    <w:rPr>
      <w:rFonts w:ascii="Calibri" w:cs="Calibri" w:eastAsia="Calibri" w:hAnsi="Calibri"/>
      <w:b/>
      <w:bCs/>
      <w:color w:val="1F3864"/>
      <w:sz w:val="32"/>
      <w:szCs w:val="32"/>
    </w:rPr>
  </w:style>
  <w:style w:type="paragraph" w:styleId="Heading2">
    <w:name w:val="Heading 2"/>
    <w:basedOn w:val="Normal"/>
    <w:next w:val="Normal"/>
    <w:qFormat/>
    <w:pPr>
      <w:spacing w:after="100" w:before="220"/>
      <w:outlineLvl w:val="1"/>
    </w:pPr>
    <w:rPr>
      <w:rFonts w:ascii="Calibri" w:cs="Calibri" w:eastAsia="Calibri" w:hAnsi="Calibri"/>
      <w:b/>
      <w:bCs/>
      <w:color w:val="2E75B6"/>
      <w:sz w:val="28"/>
      <w:szCs w:val="28"/>
    </w:rPr>
  </w:style>
  <w:style w:type="paragraph" w:styleId="Heading3">
    <w:name w:val="Heading 3"/>
    <w:basedOn w:val="Normal"/>
    <w:next w:val="Normal"/>
    <w:qFormat/>
    <w:pPr>
      <w:spacing w:after="80" w:before="160"/>
      <w:outlineLvl w:val="2"/>
    </w:pPr>
    <w:rPr>
      <w:rFonts w:ascii="Calibri" w:cs="Calibri" w:eastAsia="Calibri" w:hAnsi="Calibri"/>
      <w:b/>
      <w:bCs/>
      <w:color w:val="1F3864"/>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Conflict of Interest - P-POL-011</dc:title>
  <dc:creator>Bukhatir Group - Group Supply Chain</dc:creator>
  <cp:lastModifiedBy>Un-named</cp:lastModifiedBy>
  <cp:revision>1</cp:revision>
  <dcterms:created xsi:type="dcterms:W3CDTF">2026-04-13T04:45:55.716Z</dcterms:created>
  <dcterms:modified xsi:type="dcterms:W3CDTF">2026-04-13T04:45:55.716Z</dcterms:modified>
</cp:coreProperties>
</file>

<file path=docProps/custom.xml><?xml version="1.0" encoding="utf-8"?>
<Properties xmlns="http://schemas.openxmlformats.org/officeDocument/2006/custom-properties" xmlns:vt="http://schemas.openxmlformats.org/officeDocument/2006/docPropsVTypes"/>
</file>