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P-POL-010</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Code of Ethics &amp; Anti-Bribery</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Code of Ethics &amp; Anti-Bribery</w:t>
      </w:r>
    </w:p>
    <w:p>
      <w:pPr>
        <w:spacing w:after="400"/>
        <w:jc w:val="center"/>
      </w:pPr>
      <w:r>
        <w:rPr>
          <w:rFonts w:ascii="Calibri" w:cs="Calibri" w:eastAsia="Calibri" w:hAnsi="Calibri"/>
          <w:i/>
          <w:iCs/>
          <w:color w:val="6B7280"/>
          <w:sz w:val="24"/>
          <w:szCs w:val="24"/>
        </w:rPr>
        <w:t xml:space="preserve">Zero Tolerance for Corruption &amp; Fraud</w:t>
      </w:r>
    </w:p>
    <w:p>
      <w:pPr>
        <w:spacing w:after="600" w:before="600"/>
      </w:pPr>
      <w:r>
        <w:t xml:space="preserve"/>
      </w:r>
    </w:p>
    <w:p>
      <w:pPr>
        <w:jc w:val="center"/>
      </w:pPr>
      <w:r>
        <w:rPr>
          <w:rFonts w:ascii="Calibri" w:cs="Calibri" w:eastAsia="Calibri" w:hAnsi="Calibri"/>
          <w:b/>
          <w:bCs/>
          <w:color w:val="1F3864"/>
          <w:sz w:val="28"/>
          <w:szCs w:val="28"/>
        </w:rPr>
        <w:t xml:space="preserve">Document No: P-POL-010</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Code of Ethics &amp; Anti-Bribery</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Code of Ethics &amp; Anti-Bribery</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establishes Bukhatir Group's zero-tolerance position on bribery, corruption, fraud and unethical conduct across all procurement and supply chain activities. It aligns the Group with UAE Federal Law, the UN Global Compact and the Group Code of Conduct.</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Group employees, officers, contractors, consultants, suppliers and intermediaries acting on behalf of Bukhatir Group in any procurement-related capacity, in the UAE and internationally.</w:t>
      </w:r>
    </w:p>
    <w:p>
      <w:pPr>
        <w:pStyle w:val="Heading1"/>
        <w:pBdr>
          <w:bottom w:val="single" w:color="1F3864" w:sz="18" w:space="4"/>
        </w:pBdr>
        <w:spacing w:after="160" w:before="320"/>
      </w:pPr>
      <w:r>
        <w:rPr>
          <w:rFonts w:ascii="Calibri" w:cs="Calibri" w:eastAsia="Calibri" w:hAnsi="Calibri"/>
          <w:b/>
          <w:bCs/>
          <w:color w:val="1F3864"/>
          <w:sz w:val="30"/>
          <w:szCs w:val="30"/>
        </w:rPr>
        <w:t xml:space="preserve">3. Policy Statement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ZERO TOLERANCE</w:t>
            </w:r>
          </w:p>
          <w:p>
            <w:pPr>
              <w:spacing w:before="80"/>
            </w:pPr>
            <w:r>
              <w:rPr>
                <w:rFonts w:ascii="Calibri" w:cs="Calibri" w:eastAsia="Calibri" w:hAnsi="Calibri"/>
                <w:color w:val="333333"/>
                <w:sz w:val="20"/>
                <w:szCs w:val="20"/>
              </w:rPr>
              <w:t xml:space="preserve">Bukhatir Group has zero tolerance for bribery, corruption, fraud, kickbacks, collusion or any form of undue influence in procurement. Any breach is grounds for termination, legal action and permanent supplier removal.</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Prohibited Conduct</w:t>
      </w:r>
    </w:p>
    <w:p>
      <w:pPr>
        <w:pStyle w:val="ListParagraph"/>
        <w:numPr>
          <w:ilvl w:val="0"/>
          <w:numId w:val="2"/>
        </w:numPr>
        <w:spacing w:after="40" w:before="40"/>
      </w:pPr>
      <w:r>
        <w:rPr>
          <w:rFonts w:ascii="Calibri" w:cs="Calibri" w:eastAsia="Calibri" w:hAnsi="Calibri"/>
          <w:color w:val="222222"/>
          <w:sz w:val="22"/>
          <w:szCs w:val="22"/>
        </w:rPr>
        <w:t xml:space="preserve">Offering, promising, giving, soliciting or accepting any bribe, kickback, secret commission or improper advantage.</w:t>
      </w:r>
    </w:p>
    <w:p>
      <w:pPr>
        <w:pStyle w:val="ListParagraph"/>
        <w:numPr>
          <w:ilvl w:val="0"/>
          <w:numId w:val="2"/>
        </w:numPr>
        <w:spacing w:after="40" w:before="40"/>
      </w:pPr>
      <w:r>
        <w:rPr>
          <w:rFonts w:ascii="Calibri" w:cs="Calibri" w:eastAsia="Calibri" w:hAnsi="Calibri"/>
          <w:color w:val="222222"/>
          <w:sz w:val="22"/>
          <w:szCs w:val="22"/>
        </w:rPr>
        <w:t xml:space="preserve">Facilitation payments of any kind, in any jurisdiction.</w:t>
      </w:r>
    </w:p>
    <w:p>
      <w:pPr>
        <w:pStyle w:val="ListParagraph"/>
        <w:numPr>
          <w:ilvl w:val="0"/>
          <w:numId w:val="2"/>
        </w:numPr>
        <w:spacing w:after="40" w:before="40"/>
      </w:pPr>
      <w:r>
        <w:rPr>
          <w:rFonts w:ascii="Calibri" w:cs="Calibri" w:eastAsia="Calibri" w:hAnsi="Calibri"/>
          <w:color w:val="222222"/>
          <w:sz w:val="22"/>
          <w:szCs w:val="22"/>
        </w:rPr>
        <w:t xml:space="preserve">Fraudulent misrepresentation of specifications, prices, deliveries or performance data.</w:t>
      </w:r>
    </w:p>
    <w:p>
      <w:pPr>
        <w:pStyle w:val="ListParagraph"/>
        <w:numPr>
          <w:ilvl w:val="0"/>
          <w:numId w:val="2"/>
        </w:numPr>
        <w:spacing w:after="40" w:before="40"/>
      </w:pPr>
      <w:r>
        <w:rPr>
          <w:rFonts w:ascii="Calibri" w:cs="Calibri" w:eastAsia="Calibri" w:hAnsi="Calibri"/>
          <w:color w:val="222222"/>
          <w:sz w:val="22"/>
          <w:szCs w:val="22"/>
        </w:rPr>
        <w:t xml:space="preserve">Collusion, bid-rigging, price-fixing or market-sharing with competitors or between suppliers.</w:t>
      </w:r>
    </w:p>
    <w:p>
      <w:pPr>
        <w:pStyle w:val="ListParagraph"/>
        <w:numPr>
          <w:ilvl w:val="0"/>
          <w:numId w:val="2"/>
        </w:numPr>
        <w:spacing w:after="40" w:before="40"/>
      </w:pPr>
      <w:r>
        <w:rPr>
          <w:rFonts w:ascii="Calibri" w:cs="Calibri" w:eastAsia="Calibri" w:hAnsi="Calibri"/>
          <w:color w:val="222222"/>
          <w:sz w:val="22"/>
          <w:szCs w:val="22"/>
        </w:rPr>
        <w:t xml:space="preserve">Abuse of position for personal or third-party gain.</w:t>
      </w:r>
    </w:p>
    <w:p>
      <w:pPr>
        <w:pStyle w:val="ListParagraph"/>
        <w:numPr>
          <w:ilvl w:val="0"/>
          <w:numId w:val="2"/>
        </w:numPr>
        <w:spacing w:after="40" w:before="40"/>
      </w:pPr>
      <w:r>
        <w:rPr>
          <w:rFonts w:ascii="Calibri" w:cs="Calibri" w:eastAsia="Calibri" w:hAnsi="Calibri"/>
          <w:color w:val="222222"/>
          <w:sz w:val="22"/>
          <w:szCs w:val="22"/>
        </w:rPr>
        <w:t xml:space="preserve">Engagement of suppliers owned or controlled by sanctioned or politically exposed persons without approved due diligence.</w:t>
      </w:r>
    </w:p>
    <w:p>
      <w:pPr>
        <w:pStyle w:val="Heading1"/>
        <w:pBdr>
          <w:bottom w:val="single" w:color="1F3864" w:sz="18" w:space="4"/>
        </w:pBdr>
        <w:spacing w:after="160" w:before="320"/>
      </w:pPr>
      <w:r>
        <w:rPr>
          <w:rFonts w:ascii="Calibri" w:cs="Calibri" w:eastAsia="Calibri" w:hAnsi="Calibri"/>
          <w:b/>
          <w:bCs/>
          <w:color w:val="1F3864"/>
          <w:sz w:val="30"/>
          <w:szCs w:val="30"/>
        </w:rPr>
        <w:t xml:space="preserve">5. Due Diligence</w:t>
      </w:r>
    </w:p>
    <w:p>
      <w:pPr>
        <w:spacing w:after="60" w:before="60" w:line="290"/>
        <w:jc w:val="both"/>
      </w:pPr>
      <w:r>
        <w:rPr>
          <w:rFonts w:ascii="Calibri" w:cs="Calibri" w:eastAsia="Calibri" w:hAnsi="Calibri"/>
          <w:color w:val="222222"/>
          <w:sz w:val="22"/>
          <w:szCs w:val="22"/>
        </w:rPr>
        <w:t xml:space="preserve">All suppliers shall be screened at onboarding and periodically thereafter against sanctions lists, PEP databases and adverse media. High-risk counterparties require enhanced due diligence including beneficial-ownership disclosure and anti-bribery warranties.</w:t>
      </w:r>
    </w:p>
    <w:p>
      <w:pPr>
        <w:pStyle w:val="Heading1"/>
        <w:pBdr>
          <w:bottom w:val="single" w:color="1F3864" w:sz="18" w:space="4"/>
        </w:pBdr>
        <w:spacing w:after="160" w:before="320"/>
      </w:pPr>
      <w:r>
        <w:rPr>
          <w:rFonts w:ascii="Calibri" w:cs="Calibri" w:eastAsia="Calibri" w:hAnsi="Calibri"/>
          <w:b/>
          <w:bCs/>
          <w:color w:val="1F3864"/>
          <w:sz w:val="30"/>
          <w:szCs w:val="30"/>
        </w:rPr>
        <w:t xml:space="preserve">6. Training &amp; Awareness</w:t>
      </w:r>
    </w:p>
    <w:p>
      <w:pPr>
        <w:spacing w:after="60" w:before="60" w:line="290"/>
        <w:jc w:val="both"/>
      </w:pPr>
      <w:r>
        <w:rPr>
          <w:rFonts w:ascii="Calibri" w:cs="Calibri" w:eastAsia="Calibri" w:hAnsi="Calibri"/>
          <w:color w:val="222222"/>
          <w:sz w:val="22"/>
          <w:szCs w:val="22"/>
        </w:rPr>
        <w:t xml:space="preserve">All procurement staff shall complete mandatory anti-bribery and ethics training annually. Completion is tracked by HR and Compliance.</w:t>
      </w:r>
    </w:p>
    <w:p>
      <w:pPr>
        <w:pStyle w:val="Heading1"/>
        <w:pBdr>
          <w:bottom w:val="single" w:color="1F3864" w:sz="18" w:space="4"/>
        </w:pBdr>
        <w:spacing w:after="160" w:before="320"/>
      </w:pPr>
      <w:r>
        <w:rPr>
          <w:rFonts w:ascii="Calibri" w:cs="Calibri" w:eastAsia="Calibri" w:hAnsi="Calibri"/>
          <w:b/>
          <w:bCs/>
          <w:color w:val="1F3864"/>
          <w:sz w:val="30"/>
          <w:szCs w:val="30"/>
        </w:rPr>
        <w:t xml:space="preserve">7. Reporting &amp; Investigation</w:t>
      </w:r>
    </w:p>
    <w:p>
      <w:pPr>
        <w:spacing w:after="60" w:before="60" w:line="290"/>
        <w:jc w:val="both"/>
      </w:pPr>
      <w:r>
        <w:rPr>
          <w:rFonts w:ascii="Calibri" w:cs="Calibri" w:eastAsia="Calibri" w:hAnsi="Calibri"/>
          <w:color w:val="222222"/>
          <w:sz w:val="22"/>
          <w:szCs w:val="22"/>
        </w:rPr>
        <w:t xml:space="preserve">Any suspected breach shall be reported immediately via the Group Whistleblowing Channel (see P-POL-018). Reports are investigated by Compliance and Internal Audit. No retaliation against a good-faith reporter is permitted.</w:t>
      </w:r>
    </w:p>
    <w:p>
      <w:pPr>
        <w:pStyle w:val="Heading1"/>
        <w:pBdr>
          <w:bottom w:val="single" w:color="1F3864" w:sz="18" w:space="4"/>
        </w:pBdr>
        <w:spacing w:after="160" w:before="320"/>
      </w:pPr>
      <w:r>
        <w:rPr>
          <w:rFonts w:ascii="Calibri" w:cs="Calibri" w:eastAsia="Calibri" w:hAnsi="Calibri"/>
          <w:b/>
          <w:bCs/>
          <w:color w:val="1F3864"/>
          <w:sz w:val="30"/>
          <w:szCs w:val="30"/>
        </w:rPr>
        <w:t xml:space="preserve">8. Consequences of Breach</w:t>
      </w:r>
    </w:p>
    <w:p>
      <w:pPr>
        <w:spacing w:after="60" w:before="60" w:line="290"/>
        <w:jc w:val="both"/>
      </w:pPr>
      <w:r>
        <w:rPr>
          <w:rFonts w:ascii="Calibri" w:cs="Calibri" w:eastAsia="Calibri" w:hAnsi="Calibri"/>
          <w:color w:val="222222"/>
          <w:sz w:val="22"/>
          <w:szCs w:val="22"/>
        </w:rPr>
        <w:t xml:space="preserve">Breach may result in disciplinary action up to dismissal, civil and criminal prosecution under UAE law, supplier blacklisting, and recovery of any financial gain.</w:t>
      </w:r>
    </w:p>
    <w:p>
      <w:pPr>
        <w:pStyle w:val="Heading1"/>
        <w:pBdr>
          <w:bottom w:val="single" w:color="1F3864" w:sz="18" w:space="4"/>
        </w:pBdr>
        <w:spacing w:after="160" w:before="320"/>
      </w:pPr>
      <w:r>
        <w:rPr>
          <w:rFonts w:ascii="Calibri" w:cs="Calibri" w:eastAsia="Calibri" w:hAnsi="Calibri"/>
          <w:b/>
          <w:bCs/>
          <w:color w:val="1F3864"/>
          <w:sz w:val="30"/>
          <w:szCs w:val="30"/>
        </w:rPr>
        <w:t xml:space="preserve">9.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Conflict of Interest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PEP</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Politically Exposed Person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UAE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P-POL-010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Code of Ethics &amp; Anti-Bribery</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Code of Ethics &amp; Anti-Bribery - P-POL-010</dc:title>
  <dc:creator>Bukhatir Group - Group Supply Chain</dc:creator>
  <cp:lastModifiedBy>Un-named</cp:lastModifiedBy>
  <cp:revision>1</cp:revision>
  <dcterms:created xsi:type="dcterms:W3CDTF">2026-04-13T04:45:55.703Z</dcterms:created>
  <dcterms:modified xsi:type="dcterms:W3CDTF">2026-04-13T04:45:55.703Z</dcterms:modified>
</cp:coreProperties>
</file>

<file path=docProps/custom.xml><?xml version="1.0" encoding="utf-8"?>
<Properties xmlns="http://schemas.openxmlformats.org/officeDocument/2006/custom-properties" xmlns:vt="http://schemas.openxmlformats.org/officeDocument/2006/docPropsVTypes"/>
</file>