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P-POL-009</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BPI Procurement Policy</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BPI Procurement Policy</w:t>
      </w:r>
    </w:p>
    <w:p>
      <w:pPr>
        <w:spacing w:after="400"/>
        <w:jc w:val="center"/>
      </w:pPr>
      <w:r>
        <w:rPr>
          <w:rFonts w:ascii="Calibri" w:cs="Calibri" w:eastAsia="Calibri" w:hAnsi="Calibri"/>
          <w:i/>
          <w:iCs/>
          <w:color w:val="6B7280"/>
          <w:sz w:val="24"/>
          <w:szCs w:val="24"/>
        </w:rPr>
        <w:t xml:space="preserve">Services Procurement via Group Channel</w:t>
      </w:r>
    </w:p>
    <w:p>
      <w:pPr>
        <w:spacing w:after="600" w:before="600"/>
      </w:pPr>
      <w:r>
        <w:t xml:space="preserve"/>
      </w:r>
    </w:p>
    <w:p>
      <w:pPr>
        <w:jc w:val="center"/>
      </w:pPr>
      <w:r>
        <w:rPr>
          <w:rFonts w:ascii="Calibri" w:cs="Calibri" w:eastAsia="Calibri" w:hAnsi="Calibri"/>
          <w:b/>
          <w:bCs/>
          <w:color w:val="1F3864"/>
          <w:sz w:val="28"/>
          <w:szCs w:val="28"/>
        </w:rPr>
        <w:t xml:space="preserve">Document No: P-POL-009</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BPI Procurement Policy</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BPI Procurement Policy</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w:t>
      </w:r>
    </w:p>
    <w:p>
      <w:pPr>
        <w:spacing w:after="60" w:before="60" w:line="290"/>
        <w:jc w:val="both"/>
      </w:pPr>
      <w:r>
        <w:rPr>
          <w:rFonts w:ascii="Calibri" w:cs="Calibri" w:eastAsia="Calibri" w:hAnsi="Calibri"/>
          <w:color w:val="222222"/>
          <w:sz w:val="22"/>
          <w:szCs w:val="22"/>
        </w:rPr>
        <w:t xml:space="preserve">This policy establishes the mandatory guidelines for procuring services at Bukhatir Precast Industries (BPI) exclusively through the Group Procurement function. It ensures consistency, compliance, transparency and efficiency in BPI's procurement practices, while maximising value for projects and alignment with the overarching Bukhatir Group Procurement Policies (SOP 1–7).</w:t>
      </w:r>
    </w:p>
    <w:p>
      <w:pPr>
        <w:pStyle w:val="Heading1"/>
        <w:pBdr>
          <w:bottom w:val="single" w:color="1F3864" w:sz="18" w:space="4"/>
        </w:pBdr>
        <w:spacing w:after="160" w:before="320"/>
      </w:pPr>
      <w:r>
        <w:rPr>
          <w:rFonts w:ascii="Calibri" w:cs="Calibri" w:eastAsia="Calibri" w:hAnsi="Calibri"/>
          <w:b/>
          <w:bCs/>
          <w:color w:val="1F3864"/>
          <w:sz w:val="30"/>
          <w:szCs w:val="30"/>
        </w:rPr>
        <w:t xml:space="preserve">2. Policy Statement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SINGLE CHANNEL — GROUP PROCUREMENT</w:t>
            </w:r>
          </w:p>
          <w:p>
            <w:pPr>
              <w:spacing w:before="80"/>
            </w:pPr>
            <w:r>
              <w:rPr>
                <w:rFonts w:ascii="Calibri" w:cs="Calibri" w:eastAsia="Calibri" w:hAnsi="Calibri"/>
                <w:color w:val="333333"/>
                <w:sz w:val="20"/>
                <w:szCs w:val="20"/>
              </w:rPr>
              <w:t xml:space="preserve">All procurement of services at BPI — including engagement with contractors, sub-contractors and consultants — SHALL be conducted solely through the designated Group Procurement process. Individual employees are strictly prohibited from directly approaching or engaging any contractor or consultant without prior written approval from the Group Procurement Department.</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3. Scope</w:t>
      </w:r>
    </w:p>
    <w:p>
      <w:pPr>
        <w:spacing w:after="60" w:before="60" w:line="290"/>
        <w:jc w:val="both"/>
      </w:pPr>
      <w:r>
        <w:rPr>
          <w:rFonts w:ascii="Calibri" w:cs="Calibri" w:eastAsia="Calibri" w:hAnsi="Calibri"/>
          <w:color w:val="222222"/>
          <w:sz w:val="22"/>
          <w:szCs w:val="22"/>
        </w:rPr>
        <w:t xml:space="preserve">This policy applies to all employees, contractors and consultants of BPI involved in any aspect of the procurement of services. It is to be read together with SOP 1 (Purchase Requisition), SOP 2 (RFQ), SOP 3 (LOI), SOP 4 (Purchase Orders), SOP 5 (Supplier Evaluation) and SOP 6 (BU–Group Interaction).</w:t>
      </w:r>
    </w:p>
    <w:p>
      <w:pPr>
        <w:pStyle w:val="Heading1"/>
        <w:pBdr>
          <w:bottom w:val="single" w:color="1F3864" w:sz="18" w:space="4"/>
        </w:pBdr>
        <w:spacing w:after="160" w:before="320"/>
      </w:pPr>
      <w:r>
        <w:rPr>
          <w:rFonts w:ascii="Calibri" w:cs="Calibri" w:eastAsia="Calibri" w:hAnsi="Calibri"/>
          <w:b/>
          <w:bCs/>
          <w:color w:val="1F3864"/>
          <w:sz w:val="30"/>
          <w:szCs w:val="30"/>
        </w:rPr>
        <w:t xml:space="preserve">4. Group Procurement Process</w:t>
      </w:r>
    </w:p>
    <w:p>
      <w:pPr>
        <w:pStyle w:val="Heading2"/>
        <w:spacing w:after="100" w:before="220"/>
      </w:pPr>
      <w:r>
        <w:rPr>
          <w:rFonts w:ascii="Calibri" w:cs="Calibri" w:eastAsia="Calibri" w:hAnsi="Calibri"/>
          <w:b/>
          <w:bCs/>
          <w:color w:val="2E75B6"/>
          <w:sz w:val="26"/>
          <w:szCs w:val="26"/>
        </w:rPr>
        <w:t xml:space="preserve">4.1 Approved Vendor Pool</w:t>
      </w:r>
    </w:p>
    <w:p>
      <w:pPr>
        <w:spacing w:after="60" w:before="60" w:line="290"/>
        <w:jc w:val="both"/>
      </w:pPr>
      <w:r>
        <w:rPr>
          <w:rFonts w:ascii="Calibri" w:cs="Calibri" w:eastAsia="Calibri" w:hAnsi="Calibri"/>
          <w:color w:val="222222"/>
          <w:sz w:val="22"/>
          <w:szCs w:val="22"/>
        </w:rPr>
        <w:t xml:space="preserve">The Group Procurement Department maintains a formal Approved Vendor Pool for BPI's contractors, sub-contractors and consultants. The pool is reviewed at least annually to confirm continued quality, financial health, HSE performance, compliance and alignment with UAE and industry standards. Vendors not on the pool may not be engaged without a formal onboarding exercise under SOP 5.</w:t>
      </w:r>
    </w:p>
    <w:p>
      <w:pPr>
        <w:pStyle w:val="Heading2"/>
        <w:spacing w:after="100" w:before="220"/>
      </w:pPr>
      <w:r>
        <w:rPr>
          <w:rFonts w:ascii="Calibri" w:cs="Calibri" w:eastAsia="Calibri" w:hAnsi="Calibri"/>
          <w:b/>
          <w:bCs/>
          <w:color w:val="2E75B6"/>
          <w:sz w:val="26"/>
          <w:szCs w:val="26"/>
        </w:rPr>
        <w:t xml:space="preserve">4.2 Request for Services</w:t>
      </w:r>
    </w:p>
    <w:p>
      <w:pPr>
        <w:spacing w:after="60" w:before="60" w:line="290"/>
        <w:jc w:val="both"/>
      </w:pPr>
      <w:r>
        <w:rPr>
          <w:rFonts w:ascii="Calibri" w:cs="Calibri" w:eastAsia="Calibri" w:hAnsi="Calibri"/>
          <w:color w:val="222222"/>
          <w:sz w:val="22"/>
          <w:szCs w:val="22"/>
        </w:rPr>
        <w:t xml:space="preserve">Employees requiring services shall submit a formal Purchase Requisition (PR) via the Oracle system to the Group Procurement team. Every request shall include, as a minimum:</w:t>
      </w:r>
    </w:p>
    <w:p>
      <w:pPr>
        <w:pStyle w:val="ListParagraph"/>
        <w:numPr>
          <w:ilvl w:val="0"/>
          <w:numId w:val="2"/>
        </w:numPr>
        <w:spacing w:after="40" w:before="40"/>
      </w:pPr>
      <w:r>
        <w:rPr>
          <w:rFonts w:ascii="Calibri" w:cs="Calibri" w:eastAsia="Calibri" w:hAnsi="Calibri"/>
          <w:color w:val="222222"/>
          <w:sz w:val="22"/>
          <w:szCs w:val="22"/>
        </w:rPr>
        <w:t xml:space="preserve">Project and cost-centre details, including a clear business case.</w:t>
      </w:r>
    </w:p>
    <w:p>
      <w:pPr>
        <w:pStyle w:val="ListParagraph"/>
        <w:numPr>
          <w:ilvl w:val="0"/>
          <w:numId w:val="2"/>
        </w:numPr>
        <w:spacing w:after="40" w:before="40"/>
      </w:pPr>
      <w:r>
        <w:rPr>
          <w:rFonts w:ascii="Calibri" w:cs="Calibri" w:eastAsia="Calibri" w:hAnsi="Calibri"/>
          <w:color w:val="222222"/>
          <w:sz w:val="22"/>
          <w:szCs w:val="22"/>
        </w:rPr>
        <w:t xml:space="preserve">Detailed scope of work (Technical and Commercial).</w:t>
      </w:r>
    </w:p>
    <w:p>
      <w:pPr>
        <w:pStyle w:val="ListParagraph"/>
        <w:numPr>
          <w:ilvl w:val="0"/>
          <w:numId w:val="2"/>
        </w:numPr>
        <w:spacing w:after="40" w:before="40"/>
      </w:pPr>
      <w:r>
        <w:rPr>
          <w:rFonts w:ascii="Calibri" w:cs="Calibri" w:eastAsia="Calibri" w:hAnsi="Calibri"/>
          <w:color w:val="222222"/>
          <w:sz w:val="22"/>
          <w:szCs w:val="22"/>
        </w:rPr>
        <w:t xml:space="preserve">Budget considerations and confirmed funding source.</w:t>
      </w:r>
    </w:p>
    <w:p>
      <w:pPr>
        <w:pStyle w:val="ListParagraph"/>
        <w:numPr>
          <w:ilvl w:val="0"/>
          <w:numId w:val="2"/>
        </w:numPr>
        <w:spacing w:after="40" w:before="40"/>
      </w:pPr>
      <w:r>
        <w:rPr>
          <w:rFonts w:ascii="Calibri" w:cs="Calibri" w:eastAsia="Calibri" w:hAnsi="Calibri"/>
          <w:color w:val="222222"/>
          <w:sz w:val="22"/>
          <w:szCs w:val="22"/>
        </w:rPr>
        <w:t xml:space="preserve">Required timeline and delivery milestones.</w:t>
      </w:r>
    </w:p>
    <w:p>
      <w:pPr>
        <w:pStyle w:val="ListParagraph"/>
        <w:numPr>
          <w:ilvl w:val="0"/>
          <w:numId w:val="2"/>
        </w:numPr>
        <w:spacing w:after="40" w:before="40"/>
      </w:pPr>
      <w:r>
        <w:rPr>
          <w:rFonts w:ascii="Calibri" w:cs="Calibri" w:eastAsia="Calibri" w:hAnsi="Calibri"/>
          <w:color w:val="222222"/>
          <w:sz w:val="22"/>
          <w:szCs w:val="22"/>
        </w:rPr>
        <w:t xml:space="preserve">HSE, quality and regulatory requirements where applicable.</w:t>
      </w:r>
    </w:p>
    <w:p>
      <w:pPr>
        <w:pStyle w:val="Heading2"/>
        <w:spacing w:after="100" w:before="220"/>
      </w:pPr>
      <w:r>
        <w:rPr>
          <w:rFonts w:ascii="Calibri" w:cs="Calibri" w:eastAsia="Calibri" w:hAnsi="Calibri"/>
          <w:b/>
          <w:bCs/>
          <w:color w:val="2E75B6"/>
          <w:sz w:val="26"/>
          <w:szCs w:val="26"/>
        </w:rPr>
        <w:t xml:space="preserve">4.3 Vendor Selection</w:t>
      </w:r>
    </w:p>
    <w:p>
      <w:pPr>
        <w:spacing w:after="60" w:before="60" w:line="290"/>
        <w:jc w:val="both"/>
      </w:pPr>
      <w:r>
        <w:rPr>
          <w:rFonts w:ascii="Calibri" w:cs="Calibri" w:eastAsia="Calibri" w:hAnsi="Calibri"/>
          <w:color w:val="222222"/>
          <w:sz w:val="22"/>
          <w:szCs w:val="22"/>
        </w:rPr>
        <w:t xml:space="preserve">The Group Procurement team evaluates each request and selects appropriate vendors from the Approved Vendor Pool using the weighted best-value criteria defined in SOP 2. Selection criteria include:</w:t>
      </w:r>
    </w:p>
    <w:p>
      <w:pPr>
        <w:pStyle w:val="ListParagraph"/>
        <w:numPr>
          <w:ilvl w:val="0"/>
          <w:numId w:val="2"/>
        </w:numPr>
        <w:spacing w:after="40" w:before="40"/>
      </w:pPr>
      <w:r>
        <w:rPr>
          <w:rFonts w:ascii="Calibri" w:cs="Calibri" w:eastAsia="Calibri" w:hAnsi="Calibri"/>
          <w:color w:val="222222"/>
          <w:sz w:val="22"/>
          <w:szCs w:val="22"/>
        </w:rPr>
        <w:t xml:space="preserve">Experience, qualifications and relevant track record.</w:t>
      </w:r>
    </w:p>
    <w:p>
      <w:pPr>
        <w:pStyle w:val="ListParagraph"/>
        <w:numPr>
          <w:ilvl w:val="0"/>
          <w:numId w:val="2"/>
        </w:numPr>
        <w:spacing w:after="40" w:before="40"/>
      </w:pPr>
      <w:r>
        <w:rPr>
          <w:rFonts w:ascii="Calibri" w:cs="Calibri" w:eastAsia="Calibri" w:hAnsi="Calibri"/>
          <w:color w:val="222222"/>
          <w:sz w:val="22"/>
          <w:szCs w:val="22"/>
        </w:rPr>
        <w:t xml:space="preserve">Past performance on Group projects (OTIF, quality, HSE, responsiveness).</w:t>
      </w:r>
    </w:p>
    <w:p>
      <w:pPr>
        <w:pStyle w:val="ListParagraph"/>
        <w:numPr>
          <w:ilvl w:val="0"/>
          <w:numId w:val="2"/>
        </w:numPr>
        <w:spacing w:after="40" w:before="40"/>
      </w:pPr>
      <w:r>
        <w:rPr>
          <w:rFonts w:ascii="Calibri" w:cs="Calibri" w:eastAsia="Calibri" w:hAnsi="Calibri"/>
          <w:color w:val="222222"/>
          <w:sz w:val="22"/>
          <w:szCs w:val="22"/>
        </w:rPr>
        <w:t xml:space="preserve">Cost-effectiveness and Total Cost of Ownership.</w:t>
      </w:r>
    </w:p>
    <w:p>
      <w:pPr>
        <w:pStyle w:val="ListParagraph"/>
        <w:numPr>
          <w:ilvl w:val="0"/>
          <w:numId w:val="2"/>
        </w:numPr>
        <w:spacing w:after="40" w:before="40"/>
      </w:pPr>
      <w:r>
        <w:rPr>
          <w:rFonts w:ascii="Calibri" w:cs="Calibri" w:eastAsia="Calibri" w:hAnsi="Calibri"/>
          <w:color w:val="222222"/>
          <w:sz w:val="22"/>
          <w:szCs w:val="22"/>
        </w:rPr>
        <w:t xml:space="preserve">Compliance with UAE regulations, ESG standards and In-Country Value commitments.</w:t>
      </w:r>
    </w:p>
    <w:p>
      <w:pPr>
        <w:pStyle w:val="Heading2"/>
        <w:spacing w:after="100" w:before="220"/>
      </w:pPr>
      <w:r>
        <w:rPr>
          <w:rFonts w:ascii="Calibri" w:cs="Calibri" w:eastAsia="Calibri" w:hAnsi="Calibri"/>
          <w:b/>
          <w:bCs/>
          <w:color w:val="2E75B6"/>
          <w:sz w:val="26"/>
          <w:szCs w:val="26"/>
        </w:rPr>
        <w:t xml:space="preserve">4.4 Contracts Approval Process</w:t>
      </w:r>
    </w:p>
    <w:p>
      <w:pPr>
        <w:spacing w:after="60" w:before="60" w:line="290"/>
        <w:jc w:val="both"/>
      </w:pPr>
      <w:r>
        <w:rPr>
          <w:rFonts w:ascii="Calibri" w:cs="Calibri" w:eastAsia="Calibri" w:hAnsi="Calibri"/>
          <w:color w:val="222222"/>
          <w:sz w:val="22"/>
          <w:szCs w:val="22"/>
        </w:rPr>
        <w:t xml:space="preserve">All contracts with vendors, contractors and consultants shall be routed through the Group Procurement Department for approval. The approval process comprises:</w:t>
      </w:r>
    </w:p>
    <w:p>
      <w:pPr>
        <w:pStyle w:val="ListParagraph"/>
        <w:numPr>
          <w:ilvl w:val="0"/>
          <w:numId w:val="3"/>
        </w:numPr>
        <w:spacing w:after="40" w:before="40"/>
      </w:pPr>
      <w:r>
        <w:rPr>
          <w:rFonts w:ascii="Calibri" w:cs="Calibri" w:eastAsia="Calibri" w:hAnsi="Calibri"/>
          <w:color w:val="222222"/>
          <w:sz w:val="22"/>
          <w:szCs w:val="22"/>
        </w:rPr>
        <w:t xml:space="preserve">Review of contract terms and conditions against the Group Standard PO T&amp;Cs (Annex 4A).</w:t>
      </w:r>
    </w:p>
    <w:p>
      <w:pPr>
        <w:pStyle w:val="ListParagraph"/>
        <w:numPr>
          <w:ilvl w:val="0"/>
          <w:numId w:val="3"/>
        </w:numPr>
        <w:spacing w:after="40" w:before="40"/>
      </w:pPr>
      <w:r>
        <w:rPr>
          <w:rFonts w:ascii="Calibri" w:cs="Calibri" w:eastAsia="Calibri" w:hAnsi="Calibri"/>
          <w:color w:val="222222"/>
          <w:sz w:val="22"/>
          <w:szCs w:val="22"/>
        </w:rPr>
        <w:t xml:space="preserve">Verification of compliance with BPI policies, the Group Delegation of Authority and relevant UAE law.</w:t>
      </w:r>
    </w:p>
    <w:p>
      <w:pPr>
        <w:pStyle w:val="ListParagraph"/>
        <w:numPr>
          <w:ilvl w:val="0"/>
          <w:numId w:val="3"/>
        </w:numPr>
        <w:spacing w:after="40" w:before="40"/>
      </w:pPr>
      <w:r>
        <w:rPr>
          <w:rFonts w:ascii="Calibri" w:cs="Calibri" w:eastAsia="Calibri" w:hAnsi="Calibri"/>
          <w:color w:val="222222"/>
          <w:sz w:val="22"/>
          <w:szCs w:val="22"/>
        </w:rPr>
        <w:t xml:space="preserve">Legal review where value or risk triggers the thresholds defined in SOP 3.</w:t>
      </w:r>
    </w:p>
    <w:p>
      <w:pPr>
        <w:pStyle w:val="ListParagraph"/>
        <w:numPr>
          <w:ilvl w:val="0"/>
          <w:numId w:val="3"/>
        </w:numPr>
        <w:spacing w:after="40" w:before="40"/>
      </w:pPr>
      <w:r>
        <w:rPr>
          <w:rFonts w:ascii="Calibri" w:cs="Calibri" w:eastAsia="Calibri" w:hAnsi="Calibri"/>
          <w:color w:val="222222"/>
          <w:sz w:val="22"/>
          <w:szCs w:val="22"/>
        </w:rPr>
        <w:t xml:space="preserve">Final approval by the designated Procurement Officer — no contract may be signed before this step.</w:t>
      </w:r>
    </w:p>
    <w:p>
      <w:pPr>
        <w:pStyle w:val="Heading2"/>
        <w:spacing w:after="100" w:before="220"/>
      </w:pPr>
      <w:r>
        <w:rPr>
          <w:rFonts w:ascii="Calibri" w:cs="Calibri" w:eastAsia="Calibri" w:hAnsi="Calibri"/>
          <w:b/>
          <w:bCs/>
          <w:color w:val="2E75B6"/>
          <w:sz w:val="26"/>
          <w:szCs w:val="26"/>
        </w:rPr>
        <w:t xml:space="preserve">4.5 Closed Tenders for Projects</w:t>
      </w:r>
    </w:p>
    <w:p>
      <w:pPr>
        <w:spacing w:after="60" w:before="60" w:line="290"/>
        <w:jc w:val="both"/>
      </w:pPr>
      <w:r>
        <w:rPr>
          <w:rFonts w:ascii="Calibri" w:cs="Calibri" w:eastAsia="Calibri" w:hAnsi="Calibri"/>
          <w:color w:val="222222"/>
          <w:sz w:val="22"/>
          <w:szCs w:val="22"/>
        </w:rPr>
        <w:t xml:space="preserve">Group Procurement arranges all closed tenders for BPI project works. The tendering process follows SOP 2 and comprises:</w:t>
      </w:r>
    </w:p>
    <w:p>
      <w:pPr>
        <w:pStyle w:val="ListParagraph"/>
        <w:numPr>
          <w:ilvl w:val="0"/>
          <w:numId w:val="2"/>
        </w:numPr>
        <w:spacing w:after="40" w:before="40"/>
      </w:pPr>
      <w:r>
        <w:rPr>
          <w:rFonts w:ascii="Calibri" w:cs="Calibri" w:eastAsia="Calibri" w:hAnsi="Calibri"/>
          <w:color w:val="222222"/>
          <w:sz w:val="22"/>
          <w:szCs w:val="22"/>
        </w:rPr>
        <w:t xml:space="preserve">Development of a complete tender dossier (RFQ, CSW, TSW, LOC).</w:t>
      </w:r>
    </w:p>
    <w:p>
      <w:pPr>
        <w:pStyle w:val="ListParagraph"/>
        <w:numPr>
          <w:ilvl w:val="0"/>
          <w:numId w:val="2"/>
        </w:numPr>
        <w:spacing w:after="40" w:before="40"/>
      </w:pPr>
      <w:r>
        <w:rPr>
          <w:rFonts w:ascii="Calibri" w:cs="Calibri" w:eastAsia="Calibri" w:hAnsi="Calibri"/>
          <w:color w:val="222222"/>
          <w:sz w:val="22"/>
          <w:szCs w:val="22"/>
        </w:rPr>
        <w:t xml:space="preserve">Issuance of the tender to pre-qualified vendors from the Approved Vendor Pool.</w:t>
      </w:r>
    </w:p>
    <w:p>
      <w:pPr>
        <w:pStyle w:val="ListParagraph"/>
        <w:numPr>
          <w:ilvl w:val="0"/>
          <w:numId w:val="2"/>
        </w:numPr>
        <w:spacing w:after="40" w:before="40"/>
      </w:pPr>
      <w:r>
        <w:rPr>
          <w:rFonts w:ascii="Calibri" w:cs="Calibri" w:eastAsia="Calibri" w:hAnsi="Calibri"/>
          <w:color w:val="222222"/>
          <w:sz w:val="22"/>
          <w:szCs w:val="22"/>
        </w:rPr>
        <w:t xml:space="preserve">Receipt and evaluation of sealed bids using the weighted scoring model.</w:t>
      </w:r>
    </w:p>
    <w:p>
      <w:pPr>
        <w:pStyle w:val="ListParagraph"/>
        <w:numPr>
          <w:ilvl w:val="0"/>
          <w:numId w:val="2"/>
        </w:numPr>
        <w:spacing w:after="40" w:before="40"/>
      </w:pPr>
      <w:r>
        <w:rPr>
          <w:rFonts w:ascii="Calibri" w:cs="Calibri" w:eastAsia="Calibri" w:hAnsi="Calibri"/>
          <w:color w:val="222222"/>
          <w:sz w:val="22"/>
          <w:szCs w:val="22"/>
        </w:rPr>
        <w:t xml:space="preserve">Selection of the winning bid based on pre-defined commercial, technical, ESG and ICV criteria.</w:t>
      </w:r>
    </w:p>
    <w:p>
      <w:pPr>
        <w:pStyle w:val="ListParagraph"/>
        <w:numPr>
          <w:ilvl w:val="0"/>
          <w:numId w:val="2"/>
        </w:numPr>
        <w:spacing w:after="40" w:before="40"/>
      </w:pPr>
      <w:r>
        <w:rPr>
          <w:rFonts w:ascii="Calibri" w:cs="Calibri" w:eastAsia="Calibri" w:hAnsi="Calibri"/>
          <w:color w:val="222222"/>
          <w:sz w:val="22"/>
          <w:szCs w:val="22"/>
        </w:rPr>
        <w:t xml:space="preserve">Documented award decision and issuance of the LOI / PO.</w:t>
      </w:r>
    </w:p>
    <w:p>
      <w:pPr>
        <w:pStyle w:val="Heading2"/>
        <w:spacing w:after="100" w:before="220"/>
      </w:pPr>
      <w:r>
        <w:rPr>
          <w:rFonts w:ascii="Calibri" w:cs="Calibri" w:eastAsia="Calibri" w:hAnsi="Calibri"/>
          <w:b/>
          <w:bCs/>
          <w:color w:val="2E75B6"/>
          <w:sz w:val="26"/>
          <w:szCs w:val="26"/>
        </w:rPr>
        <w:t xml:space="preserve">4.6 Communication</w:t>
      </w:r>
    </w:p>
    <w:p>
      <w:pPr>
        <w:spacing w:after="60" w:before="60" w:line="290"/>
        <w:jc w:val="both"/>
      </w:pPr>
      <w:r>
        <w:rPr>
          <w:rFonts w:ascii="Calibri" w:cs="Calibri" w:eastAsia="Calibri" w:hAnsi="Calibri"/>
          <w:color w:val="222222"/>
          <w:sz w:val="22"/>
          <w:szCs w:val="22"/>
        </w:rPr>
        <w:t xml:space="preserve">All communication with approved vendors shall be conducted through the Group Procurement team. BPI employees shall route all inquiries, clarifications or discussions regarding services through this single channel to ensure proper documentation, audit trail and compliance. Direct side-channel communication with vendors (email, phone or meeting) regarding commercial matters is prohibited.</w:t>
      </w:r>
    </w:p>
    <w:p>
      <w:pPr>
        <w:pStyle w:val="Heading1"/>
        <w:pBdr>
          <w:bottom w:val="single" w:color="1F3864" w:sz="18" w:space="4"/>
        </w:pBdr>
        <w:spacing w:after="160" w:before="320"/>
      </w:pPr>
      <w:r>
        <w:rPr>
          <w:rFonts w:ascii="Calibri" w:cs="Calibri" w:eastAsia="Calibri" w:hAnsi="Calibri"/>
          <w:b/>
          <w:bCs/>
          <w:color w:val="1F3864"/>
          <w:sz w:val="30"/>
          <w:szCs w:val="30"/>
        </w:rPr>
        <w:t xml:space="preserve">5. Compliance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DISCIPLINARY CONSEQUENCES</w:t>
            </w:r>
          </w:p>
          <w:p>
            <w:pPr>
              <w:spacing w:before="80"/>
            </w:pPr>
            <w:r>
              <w:rPr>
                <w:rFonts w:ascii="Calibri" w:cs="Calibri" w:eastAsia="Calibri" w:hAnsi="Calibri"/>
                <w:color w:val="333333"/>
                <w:sz w:val="20"/>
                <w:szCs w:val="20"/>
              </w:rPr>
              <w:t xml:space="preserve">Failure to adhere to this procurement policy may result in disciplinary action, up to and including termination of employment. All BPI employees are expected to comply with this policy and actively promote a culture of accountability, ethics and transparency in procurement.</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6. Review &amp; Amendments</w:t>
      </w:r>
    </w:p>
    <w:p>
      <w:pPr>
        <w:spacing w:after="60" w:before="60" w:line="290"/>
        <w:jc w:val="both"/>
      </w:pPr>
      <w:r>
        <w:rPr>
          <w:rFonts w:ascii="Calibri" w:cs="Calibri" w:eastAsia="Calibri" w:hAnsi="Calibri"/>
          <w:color w:val="222222"/>
          <w:sz w:val="22"/>
          <w:szCs w:val="22"/>
        </w:rPr>
        <w:t xml:space="preserve">This policy shall be reviewed annually and updated as necessary to reflect changes in UAE regulations, industry best practices, or the organisational needs of BPI and the Group. Employees shall be notified in writing of any amendments via the Group Supply Chain communication channels.</w:t>
      </w:r>
    </w:p>
    <w:p>
      <w:pPr>
        <w:pStyle w:val="Heading1"/>
        <w:pBdr>
          <w:bottom w:val="single" w:color="1F3864" w:sz="18" w:space="4"/>
        </w:pBdr>
        <w:spacing w:after="160" w:before="320"/>
      </w:pPr>
      <w:r>
        <w:rPr>
          <w:rFonts w:ascii="Calibri" w:cs="Calibri" w:eastAsia="Calibri" w:hAnsi="Calibri"/>
          <w:b/>
          <w:bCs/>
          <w:color w:val="1F3864"/>
          <w:sz w:val="30"/>
          <w:szCs w:val="30"/>
        </w:rPr>
        <w:t xml:space="preserve">7. Effective Date</w:t>
      </w:r>
    </w:p>
    <w:p>
      <w:pPr>
        <w:spacing w:after="60" w:before="60" w:line="290"/>
        <w:jc w:val="both"/>
      </w:pPr>
      <w:r>
        <w:rPr>
          <w:rFonts w:ascii="Calibri" w:cs="Calibri" w:eastAsia="Calibri" w:hAnsi="Calibri"/>
          <w:color w:val="222222"/>
          <w:sz w:val="22"/>
          <w:szCs w:val="22"/>
        </w:rPr>
        <w:t xml:space="preserve">This policy is effective from 08 April 2026 and supersedes the prior BPI procurement instruction dated 01 October 2024.</w:t>
      </w:r>
    </w:p>
    <w:p>
      <w:pPr>
        <w:pStyle w:val="Heading1"/>
        <w:pBdr>
          <w:bottom w:val="single" w:color="1F3864" w:sz="18" w:space="4"/>
        </w:pBdr>
        <w:spacing w:after="160" w:before="320"/>
      </w:pPr>
      <w:r>
        <w:rPr>
          <w:rFonts w:ascii="Calibri" w:cs="Calibri" w:eastAsia="Calibri" w:hAnsi="Calibri"/>
          <w:b/>
          <w:bCs/>
          <w:color w:val="1F3864"/>
          <w:sz w:val="30"/>
          <w:szCs w:val="30"/>
        </w:rPr>
        <w:t xml:space="preserve">8. Flowchart</w:t>
      </w:r>
    </w:p>
    <w:p>
      <w:pPr>
        <w:spacing w:after="80" w:before="200"/>
        <w:jc w:val="center"/>
      </w:pPr>
      <w:r>
        <w:drawing>
          <wp:inline distT="0" distB="0" distL="0" distR="0">
            <wp:extent cx="4953000" cy="6477000"/>
            <wp:effectExtent t="0" r="0" b="0" l="0"/>
            <wp:docPr id="1" name="Figure 10: BPI Procurement via Group Channel" descr="Figure 10: BPI Procurement via Group Channel" title="Figure 10: BPI Procurement via Group Chann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4953000" cy="6477000"/>
                    </a:xfrm>
                    <a:prstGeom prst="rect">
                      <a:avLst/>
                    </a:prstGeom>
                  </pic:spPr>
                </pic:pic>
              </a:graphicData>
            </a:graphic>
          </wp:inline>
        </w:drawing>
      </w:r>
    </w:p>
    <w:p>
      <w:pPr>
        <w:spacing w:after="200"/>
        <w:jc w:val="center"/>
      </w:pPr>
      <w:r>
        <w:rPr>
          <w:rFonts w:ascii="Calibri" w:cs="Calibri" w:eastAsia="Calibri" w:hAnsi="Calibri"/>
          <w:i/>
          <w:iCs/>
          <w:color w:val="6B7280"/>
          <w:sz w:val="18"/>
          <w:szCs w:val="18"/>
        </w:rPr>
        <w:t xml:space="preserve">Figure 10: BPI Procurement via Group Channel</w:t>
      </w:r>
    </w:p>
    <w:p>
      <w:pPr>
        <w:pStyle w:val="Heading1"/>
        <w:pBdr>
          <w:bottom w:val="single" w:color="1F3864" w:sz="18" w:space="4"/>
        </w:pBdr>
        <w:spacing w:after="160" w:before="320"/>
      </w:pPr>
      <w:r>
        <w:rPr>
          <w:rFonts w:ascii="Calibri" w:cs="Calibri" w:eastAsia="Calibri" w:hAnsi="Calibri"/>
          <w:b/>
          <w:bCs/>
          <w:color w:val="1F3864"/>
          <w:sz w:val="30"/>
          <w:szCs w:val="30"/>
        </w:rPr>
        <w:t xml:space="preserve">9.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 Dirham</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BPI</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Bukhatir Precast Industries</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GRN</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Goods Received Note</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KPI</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Key Performance Indicator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 System</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OTIF</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On-Time In-Full</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Order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Requisition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QCS</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Quotation Comparison Statement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RFQ</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Request for Quotation</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P-POL-009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BPI Procurement Policy</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98f2d17488177f79914c23f48a03a6d1c8a91f11.png"/><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BPI Procurement Policy - P-POL-009</dc:title>
  <dc:creator>Bukhatir Group - Group Supply Chain</dc:creator>
  <cp:lastModifiedBy>Un-named</cp:lastModifiedBy>
  <cp:revision>1</cp:revision>
  <dcterms:created xsi:type="dcterms:W3CDTF">2026-04-13T04:45:55.683Z</dcterms:created>
  <dcterms:modified xsi:type="dcterms:W3CDTF">2026-04-13T04:45:55.683Z</dcterms:modified>
</cp:coreProperties>
</file>

<file path=docProps/custom.xml><?xml version="1.0" encoding="utf-8"?>
<Properties xmlns="http://schemas.openxmlformats.org/officeDocument/2006/custom-properties" xmlns:vt="http://schemas.openxmlformats.org/officeDocument/2006/docPropsVTypes"/>
</file>