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2600"/>
        <w:gridCol w:w="4160"/>
      </w:tblGrid>
      <w:tr>
        <w:tc>
          <w:tcPr>
            <w:tcW w:type="dxa" w:w="26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Group Policy &amp; Procedure</w:t>
            </w:r>
          </w:p>
        </w:tc>
        <w:tc>
          <w:tcPr>
            <w:tcW w:type="dxa" w:w="26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Document No.</w:t>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bCs/>
                <w:color w:val="222222"/>
                <w:sz w:val="20"/>
                <w:szCs w:val="20"/>
              </w:rPr>
              <w:t xml:space="preserve">P-POL-007</w:t>
            </w:r>
          </w:p>
        </w:tc>
      </w:tr>
      <w:tr>
        <w:tc>
          <w:tcPr>
            <w:tcW w:type="dxa" w:w="26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Group Supply Chain</w:t>
            </w:r>
          </w:p>
        </w:tc>
        <w:tc>
          <w:tcPr>
            <w:tcW w:type="dxa" w:w="26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Ver. No. | Rev Date</w:t>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0.4 | 08 APR 2026</w:t>
            </w:r>
          </w:p>
        </w:tc>
      </w:tr>
      <w:tr>
        <w:tc>
          <w:tcPr>
            <w:tcW w:type="dxa" w:w="2600"/>
            <w:tcBorders>
              <w:top w:val="single" w:color="BFBFBF" w:sz="4"/>
              <w:left w:val="single" w:color="BFBFBF" w:sz="4"/>
              <w:bottom w:val="single" w:color="BFBFBF" w:sz="4"/>
              <w:right w:val="single" w:color="BFBFBF" w:sz="4"/>
            </w:tcBorders>
            <w:shd w:fill="2E75B6"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Title: BU Procurement Interaction</w:t>
            </w:r>
          </w:p>
        </w:tc>
        <w:tc>
          <w:tcPr>
            <w:tcW w:type="dxa" w:w="26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Effective Date</w:t>
            </w:r>
          </w:p>
        </w:tc>
        <w:tc>
          <w:tcPr>
            <w:tcW w:type="dxa" w:w="4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08 April 2026</w:t>
            </w:r>
          </w:p>
        </w:tc>
      </w:tr>
    </w:tbl>
    <w:p>
      <w:pPr>
        <w:spacing w:after="300" w:before="300"/>
      </w:pPr>
      <w:r>
        <w:t xml:space="preserve"/>
      </w:r>
    </w:p>
    <w:p>
      <w:pPr>
        <w:shd w:fill="1F3864" w:val="clear"/>
        <w:spacing w:after="100" w:before="200"/>
        <w:jc w:val="center"/>
      </w:pPr>
      <w:r>
        <w:rPr>
          <w:rFonts w:ascii="Calibri" w:cs="Calibri" w:eastAsia="Calibri" w:hAnsi="Calibri"/>
          <w:b/>
          <w:bCs/>
          <w:color w:val="FFFFFF"/>
          <w:sz w:val="44"/>
          <w:szCs w:val="44"/>
        </w:rPr>
        <w:t xml:space="preserve">BUKHATIR GROUP</w:t>
      </w:r>
    </w:p>
    <w:p>
      <w:pPr>
        <w:shd w:fill="2E75B6" w:val="clear"/>
        <w:spacing w:after="100" w:before="0"/>
        <w:jc w:val="center"/>
      </w:pPr>
      <w:r>
        <w:rPr>
          <w:rFonts w:ascii="Calibri" w:cs="Calibri" w:eastAsia="Calibri" w:hAnsi="Calibri"/>
          <w:i/>
          <w:iCs/>
          <w:color w:val="FFFFFF"/>
          <w:sz w:val="26"/>
          <w:szCs w:val="26"/>
        </w:rPr>
        <w:t xml:space="preserve">Strength through Diversity</w:t>
      </w:r>
    </w:p>
    <w:p>
      <w:pPr>
        <w:spacing w:after="400" w:before="400"/>
      </w:pPr>
      <w:r>
        <w:t xml:space="preserve"/>
      </w:r>
    </w:p>
    <w:p>
      <w:pPr>
        <w:spacing w:after="100" w:before="400"/>
        <w:jc w:val="center"/>
      </w:pPr>
      <w:r>
        <w:rPr>
          <w:rFonts w:ascii="Calibri" w:cs="Calibri" w:eastAsia="Calibri" w:hAnsi="Calibri"/>
          <w:b/>
          <w:bCs/>
          <w:color w:val="1F3864"/>
          <w:sz w:val="40"/>
          <w:szCs w:val="40"/>
        </w:rPr>
        <w:t xml:space="preserve">Group Policy and Procedure</w:t>
      </w:r>
    </w:p>
    <w:p>
      <w:pPr>
        <w:spacing w:after="600"/>
        <w:jc w:val="center"/>
      </w:pPr>
      <w:r>
        <w:rPr>
          <w:rFonts w:ascii="Calibri" w:cs="Calibri" w:eastAsia="Calibri" w:hAnsi="Calibri"/>
          <w:color w:val="2E75B6"/>
          <w:sz w:val="30"/>
          <w:szCs w:val="30"/>
        </w:rPr>
        <w:t xml:space="preserve">Group Supply Chain (GSC)</w:t>
      </w:r>
    </w:p>
    <w:p>
      <w:pPr>
        <w:spacing w:after="200"/>
        <w:jc w:val="center"/>
      </w:pPr>
      <w:r>
        <w:rPr>
          <w:rFonts w:ascii="Calibri" w:cs="Calibri" w:eastAsia="Calibri" w:hAnsi="Calibri"/>
          <w:b/>
          <w:bCs/>
          <w:color w:val="1F3864"/>
          <w:sz w:val="44"/>
          <w:szCs w:val="44"/>
        </w:rPr>
        <w:t xml:space="preserve">BU Procurement Interaction</w:t>
      </w:r>
    </w:p>
    <w:p>
      <w:pPr>
        <w:spacing w:after="400"/>
        <w:jc w:val="center"/>
      </w:pPr>
      <w:r>
        <w:rPr>
          <w:rFonts w:ascii="Calibri" w:cs="Calibri" w:eastAsia="Calibri" w:hAnsi="Calibri"/>
          <w:i/>
          <w:iCs/>
          <w:color w:val="6B7280"/>
          <w:sz w:val="24"/>
          <w:szCs w:val="24"/>
        </w:rPr>
        <w:t xml:space="preserve">BU ↔ Group Supply Chain Operating Model</w:t>
      </w:r>
    </w:p>
    <w:p>
      <w:pPr>
        <w:spacing w:after="600" w:before="600"/>
      </w:pPr>
      <w:r>
        <w:t xml:space="preserve"/>
      </w:r>
    </w:p>
    <w:p>
      <w:pPr>
        <w:jc w:val="center"/>
      </w:pPr>
      <w:r>
        <w:rPr>
          <w:rFonts w:ascii="Calibri" w:cs="Calibri" w:eastAsia="Calibri" w:hAnsi="Calibri"/>
          <w:b/>
          <w:bCs/>
          <w:color w:val="1F3864"/>
          <w:sz w:val="28"/>
          <w:szCs w:val="28"/>
        </w:rPr>
        <w:t xml:space="preserve">Document No: P-POL-007</w:t>
      </w:r>
    </w:p>
    <w:p>
      <w:pPr>
        <w:spacing w:after="400" w:before="400"/>
      </w:pPr>
      <w:r>
        <w:t xml:space="preserve"/>
      </w:r>
    </w:p>
    <w:p>
      <w:pPr>
        <w:pBdr>
          <w:top w:val="single" w:color="C9A961" w:sz="12"/>
        </w:pBdr>
        <w:jc w:val="center"/>
      </w:pPr>
      <w:r>
        <w:rPr>
          <w:rFonts w:ascii="Calibri" w:cs="Calibri" w:eastAsia="Calibri" w:hAnsi="Calibri"/>
          <w:color w:val="6B7280"/>
          <w:sz w:val="18"/>
          <w:szCs w:val="18"/>
        </w:rPr>
        <w:t xml:space="preserve">Copyright © 2026 Bukhatir Group</w:t>
      </w:r>
    </w:p>
    <w:p>
      <w:r>
        <w:br w:type="page"/>
      </w:r>
    </w:p>
    <w:p>
      <w:pPr>
        <w:pStyle w:val="Heading1"/>
        <w:pBdr>
          <w:bottom w:val="single" w:color="1F3864" w:sz="18" w:space="4"/>
        </w:pBdr>
        <w:spacing w:after="160" w:before="320"/>
      </w:pPr>
      <w:r>
        <w:rPr>
          <w:rFonts w:ascii="Calibri" w:cs="Calibri" w:eastAsia="Calibri" w:hAnsi="Calibri"/>
          <w:b/>
          <w:bCs/>
          <w:color w:val="1F3864"/>
          <w:sz w:val="30"/>
          <w:szCs w:val="30"/>
        </w:rPr>
        <w:t xml:space="preserve">Revision Control</w:t>
      </w:r>
    </w:p>
    <w:p>
      <w:pPr>
        <w:spacing w:after="60" w:before="60" w:line="290"/>
        <w:jc w:val="both"/>
      </w:pPr>
      <w:r>
        <w:rPr>
          <w:rFonts w:ascii="Calibri" w:cs="Calibri" w:eastAsia="Calibri" w:hAnsi="Calibri"/>
          <w:color w:val="222222"/>
          <w:sz w:val="22"/>
          <w:szCs w:val="22"/>
        </w:rPr>
        <w:t xml:space="preserve">This document is issued under the authority of Bukhatir Group and applies when carrying out the activities described. Revisions may be issued as necessary under the authority of the Group Head of Procurement. Revision history is recorded below with every revised policy.</w:t>
      </w:r>
    </w:p>
    <w:p>
      <w:pPr>
        <w:spacing w:after="100" w:before="100"/>
      </w:pPr>
      <w:r>
        <w:t xml:space="preserve"/>
      </w:r>
    </w:p>
    <w:p>
      <w:pPr>
        <w:pStyle w:val="Heading2"/>
        <w:spacing w:after="100" w:before="220"/>
      </w:pPr>
      <w:r>
        <w:rPr>
          <w:rFonts w:ascii="Calibri" w:cs="Calibri" w:eastAsia="Calibri" w:hAnsi="Calibri"/>
          <w:b/>
          <w:bCs/>
          <w:color w:val="2E75B6"/>
          <w:sz w:val="26"/>
          <w:szCs w:val="26"/>
        </w:rPr>
        <w:t xml:space="preserve">Revision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500"/>
        <w:gridCol w:w="5060"/>
      </w:tblGrid>
      <w:tr>
        <w:trPr>
          <w:tblHeader/>
        </w:trPr>
        <w:tc>
          <w:tcPr>
            <w:tcW w:type="dxa" w:w="18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Ver. No.</w:t>
            </w:r>
          </w:p>
        </w:tc>
        <w:tc>
          <w:tcPr>
            <w:tcW w:type="dxa" w:w="25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Effective Date</w:t>
            </w:r>
          </w:p>
        </w:tc>
        <w:tc>
          <w:tcPr>
            <w:tcW w:type="dxa" w:w="506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Description</w:t>
            </w:r>
          </w:p>
        </w:tc>
      </w:tr>
      <w:tr>
        <w:tc>
          <w:tcPr>
            <w:tcW w:type="dxa" w:w="18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02</w:t>
            </w:r>
          </w:p>
        </w:tc>
        <w:tc>
          <w:tcPr>
            <w:tcW w:type="dxa" w:w="25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September 2016</w:t>
            </w:r>
          </w:p>
        </w:tc>
        <w:tc>
          <w:tcPr>
            <w:tcW w:type="dxa" w:w="50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Original Procurement Policy</w:t>
            </w:r>
          </w:p>
        </w:tc>
      </w:tr>
      <w:tr>
        <w:tc>
          <w:tcPr>
            <w:tcW w:type="dxa" w:w="18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0.3</w:t>
            </w:r>
          </w:p>
        </w:tc>
        <w:tc>
          <w:tcPr>
            <w:tcW w:type="dxa" w:w="25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March 2026</w:t>
            </w:r>
          </w:p>
        </w:tc>
        <w:tc>
          <w:tcPr>
            <w:tcW w:type="dxa" w:w="50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Procurement Policy – BU Procurement Interaction</w:t>
            </w:r>
          </w:p>
        </w:tc>
      </w:tr>
      <w:tr>
        <w:tc>
          <w:tcPr>
            <w:tcW w:type="dxa" w:w="18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0.4</w:t>
            </w:r>
          </w:p>
        </w:tc>
        <w:tc>
          <w:tcPr>
            <w:tcW w:type="dxa" w:w="25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08 April 2026</w:t>
            </w:r>
          </w:p>
        </w:tc>
        <w:tc>
          <w:tcPr>
            <w:tcW w:type="dxa" w:w="50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Redesign, content modernization &amp; flowcharts – BU Procurement Interaction</w:t>
            </w:r>
          </w:p>
        </w:tc>
      </w:tr>
    </w:tbl>
    <w:p>
      <w:pPr>
        <w:spacing w:after="200" w:before="200"/>
      </w:pPr>
      <w:r>
        <w:t xml:space="preserve"/>
      </w:r>
    </w:p>
    <w:p>
      <w:pPr>
        <w:pStyle w:val="Heading2"/>
        <w:spacing w:after="100" w:before="220"/>
      </w:pPr>
      <w:r>
        <w:rPr>
          <w:rFonts w:ascii="Calibri" w:cs="Calibri" w:eastAsia="Calibri" w:hAnsi="Calibri"/>
          <w:b/>
          <w:bCs/>
          <w:color w:val="2E75B6"/>
          <w:sz w:val="26"/>
          <w:szCs w:val="26"/>
        </w:rPr>
        <w:t xml:space="preserve">Revision Sign-Off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3360"/>
        <w:gridCol w:w="2000"/>
      </w:tblGrid>
      <w:tr>
        <w:trPr>
          <w:tblHeader/>
        </w:trPr>
        <w:tc>
          <w:tcPr>
            <w:tcW w:type="dxa" w:w="40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Approving Committee</w:t>
            </w:r>
          </w:p>
        </w:tc>
        <w:tc>
          <w:tcPr>
            <w:tcW w:type="dxa" w:w="336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Name</w:t>
            </w:r>
          </w:p>
        </w:tc>
        <w:tc>
          <w:tcPr>
            <w:tcW w:type="dxa" w:w="20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Signature</w:t>
            </w:r>
          </w:p>
        </w:tc>
      </w:tr>
      <w:tr>
        <w:tc>
          <w:tcPr>
            <w:tcW w:type="dxa" w:w="40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Endorsed by — Group Head of Supply Chain</w:t>
            </w:r>
          </w:p>
        </w:tc>
        <w:tc>
          <w:tcPr>
            <w:tcW w:type="dxa" w:w="33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Mohamad Koussa</w:t>
            </w:r>
          </w:p>
        </w:tc>
        <w:tc>
          <w:tcPr>
            <w:tcW w:type="dxa" w:w="20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
            </w:r>
          </w:p>
        </w:tc>
      </w:tr>
      <w:tr>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Reviewed by — BIIL CEO</w:t>
            </w:r>
          </w:p>
        </w:tc>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Mr. Ayman Ismail</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
            </w:r>
          </w:p>
        </w:tc>
      </w:tr>
      <w:tr>
        <w:tc>
          <w:tcPr>
            <w:tcW w:type="dxa" w:w="40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Reviewed by — Group Chief Financial Officer</w:t>
            </w:r>
          </w:p>
        </w:tc>
        <w:tc>
          <w:tcPr>
            <w:tcW w:type="dxa" w:w="33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Mohamad Adnaan Sait</w:t>
            </w:r>
          </w:p>
        </w:tc>
        <w:tc>
          <w:tcPr>
            <w:tcW w:type="dxa" w:w="20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
            </w:r>
          </w:p>
        </w:tc>
      </w:tr>
      <w:tr>
        <w:tc>
          <w:tcPr>
            <w:tcW w:type="dxa" w:w="4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Approved by — Group Vice Chairman &amp; Group CEO</w:t>
            </w:r>
          </w:p>
        </w:tc>
        <w:tc>
          <w:tcPr>
            <w:tcW w:type="dxa" w:w="3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Mr. Salah Bukhatir</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
            </w:r>
          </w:p>
        </w:tc>
      </w:tr>
    </w:tbl>
    <w:p>
      <w:pPr>
        <w:spacing w:after="200" w:before="200"/>
      </w:pPr>
      <w:r>
        <w:t xml:space="preserve"/>
      </w:r>
    </w:p>
    <w:p>
      <w:pPr>
        <w:pStyle w:val="Heading2"/>
        <w:spacing w:after="100" w:before="220"/>
      </w:pPr>
      <w:r>
        <w:rPr>
          <w:rFonts w:ascii="Calibri" w:cs="Calibri" w:eastAsia="Calibri" w:hAnsi="Calibri"/>
          <w:b/>
          <w:bCs/>
          <w:color w:val="2E75B6"/>
          <w:sz w:val="26"/>
          <w:szCs w:val="26"/>
        </w:rPr>
        <w:t xml:space="preserve">Distribution List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800"/>
        <w:gridCol w:w="8560"/>
      </w:tblGrid>
      <w:tr>
        <w:trPr>
          <w:tblHeader/>
        </w:trPr>
        <w:tc>
          <w:tcPr>
            <w:tcW w:type="dxa" w:w="8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w:t>
            </w:r>
          </w:p>
        </w:tc>
        <w:tc>
          <w:tcPr>
            <w:tcW w:type="dxa" w:w="856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Departments</w:t>
            </w:r>
          </w:p>
        </w:tc>
      </w:tr>
      <w:tr>
        <w:tc>
          <w:tcPr>
            <w:tcW w:type="dxa" w:w="8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1</w:t>
            </w:r>
          </w:p>
        </w:tc>
        <w:tc>
          <w:tcPr>
            <w:tcW w:type="dxa" w:w="85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Business Unit Procurement Departments</w:t>
            </w:r>
          </w:p>
        </w:tc>
      </w:tr>
      <w:tr>
        <w:tc>
          <w:tcPr>
            <w:tcW w:type="dxa" w:w="8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2</w:t>
            </w:r>
          </w:p>
        </w:tc>
        <w:tc>
          <w:tcPr>
            <w:tcW w:type="dxa" w:w="8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Group Supply Chain (GSC)</w:t>
            </w:r>
          </w:p>
        </w:tc>
      </w:tr>
      <w:tr>
        <w:tc>
          <w:tcPr>
            <w:tcW w:type="dxa" w:w="8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3</w:t>
            </w:r>
          </w:p>
        </w:tc>
        <w:tc>
          <w:tcPr>
            <w:tcW w:type="dxa" w:w="85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Finance, Legal, Compliance, Internal Audit</w:t>
            </w:r>
          </w:p>
        </w:tc>
      </w:tr>
      <w:tr>
        <w:tc>
          <w:tcPr>
            <w:tcW w:type="dxa" w:w="8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4</w:t>
            </w:r>
          </w:p>
        </w:tc>
        <w:tc>
          <w:tcPr>
            <w:tcW w:type="dxa" w:w="85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Business Unit Management</w:t>
            </w:r>
          </w:p>
        </w:tc>
      </w:tr>
    </w:tbl>
    <w:p>
      <w:r>
        <w:br w:type="page"/>
      </w:r>
    </w:p>
    <w:p>
      <w:pPr>
        <w:pStyle w:val="Heading1"/>
        <w:pBdr>
          <w:bottom w:val="single" w:color="1F3864" w:sz="18" w:space="4"/>
        </w:pBdr>
        <w:spacing w:after="160" w:before="320"/>
      </w:pPr>
      <w:r>
        <w:rPr>
          <w:rFonts w:ascii="Calibri" w:cs="Calibri" w:eastAsia="Calibri" w:hAnsi="Calibri"/>
          <w:b/>
          <w:bCs/>
          <w:color w:val="1F3864"/>
          <w:sz w:val="30"/>
          <w:szCs w:val="30"/>
        </w:rPr>
        <w:t xml:space="preserve">1. Purpose &amp; Objective</w:t>
      </w:r>
    </w:p>
    <w:p>
      <w:pPr>
        <w:spacing w:after="60" w:before="60" w:line="290"/>
        <w:jc w:val="both"/>
      </w:pPr>
      <w:r>
        <w:rPr>
          <w:rFonts w:ascii="Calibri" w:cs="Calibri" w:eastAsia="Calibri" w:hAnsi="Calibri"/>
          <w:color w:val="222222"/>
          <w:sz w:val="22"/>
          <w:szCs w:val="22"/>
        </w:rPr>
        <w:t xml:space="preserve">This SOP defines how Business Units (BUs) of Bukhatir Group interact with Group Supply Chain (GSC). It is NOT a duplicate of SOP 1–5; rather, it specifies ownership, escalation and shared-service mechanics between BUs and GSC.</w:t>
      </w:r>
    </w:p>
    <w:p>
      <w:pPr>
        <w:pStyle w:val="Heading1"/>
        <w:pBdr>
          <w:bottom w:val="single" w:color="1F3864" w:sz="18" w:space="4"/>
        </w:pBdr>
        <w:spacing w:after="160" w:before="320"/>
      </w:pPr>
      <w:r>
        <w:rPr>
          <w:rFonts w:ascii="Calibri" w:cs="Calibri" w:eastAsia="Calibri" w:hAnsi="Calibri"/>
          <w:b/>
          <w:bCs/>
          <w:color w:val="1F3864"/>
          <w:sz w:val="30"/>
          <w:szCs w:val="30"/>
        </w:rPr>
        <w:t xml:space="preserve">2. Scope</w:t>
      </w:r>
    </w:p>
    <w:p>
      <w:pPr>
        <w:spacing w:after="60" w:before="60" w:line="290"/>
        <w:jc w:val="both"/>
      </w:pPr>
      <w:r>
        <w:rPr>
          <w:rFonts w:ascii="Calibri" w:cs="Calibri" w:eastAsia="Calibri" w:hAnsi="Calibri"/>
          <w:color w:val="222222"/>
          <w:sz w:val="22"/>
          <w:szCs w:val="22"/>
        </w:rPr>
        <w:t xml:space="preserve">Applies to all BUs and to GSC as a shared services function. Operational procurement steps remain governed by SOP 1–5 and are not repeated here.</w:t>
      </w:r>
    </w:p>
    <w:p>
      <w:pPr>
        <w:pStyle w:val="Heading1"/>
        <w:pBdr>
          <w:bottom w:val="single" w:color="1F3864" w:sz="18" w:space="4"/>
        </w:pBdr>
        <w:spacing w:after="160" w:before="320"/>
      </w:pPr>
      <w:r>
        <w:rPr>
          <w:rFonts w:ascii="Calibri" w:cs="Calibri" w:eastAsia="Calibri" w:hAnsi="Calibri"/>
          <w:b/>
          <w:bCs/>
          <w:color w:val="1F3864"/>
          <w:sz w:val="30"/>
          <w:szCs w:val="30"/>
        </w:rPr>
        <w:t xml:space="preserve">3. Category Ownership</w:t>
      </w:r>
    </w:p>
    <w:p>
      <w:pPr>
        <w:spacing w:after="60" w:before="60" w:line="290"/>
        <w:jc w:val="both"/>
      </w:pPr>
      <w:r>
        <w:rPr>
          <w:rFonts w:ascii="Calibri" w:cs="Calibri" w:eastAsia="Calibri" w:hAnsi="Calibri"/>
          <w:color w:val="222222"/>
          <w:sz w:val="22"/>
          <w:szCs w:val="22"/>
        </w:rPr>
        <w:t xml:space="preserve">Procurement categories are classified as either Group-led (governed by framework agreements negotiated by GSC) or BU-led (executed locally by BU Procurement).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5360"/>
        <w:gridCol w:w="2000"/>
      </w:tblGrid>
      <w:tr>
        <w:trPr>
          <w:tblHeader/>
        </w:trPr>
        <w:tc>
          <w:tcPr>
            <w:tcW w:type="dxa" w:w="20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Category Type</w:t>
            </w:r>
          </w:p>
        </w:tc>
        <w:tc>
          <w:tcPr>
            <w:tcW w:type="dxa" w:w="536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Examples</w:t>
            </w:r>
          </w:p>
        </w:tc>
        <w:tc>
          <w:tcPr>
            <w:tcW w:type="dxa" w:w="20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Owner</w:t>
            </w:r>
          </w:p>
        </w:tc>
      </w:tr>
      <w:tr>
        <w:tc>
          <w:tcPr>
            <w:tcW w:type="dxa" w:w="20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Group-led (Framework)</w:t>
            </w:r>
          </w:p>
        </w:tc>
        <w:tc>
          <w:tcPr>
            <w:tcW w:type="dxa" w:w="53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IT hardware/software, telecom, vehicles, insurance, travel, PPE, banking, professional services panels</w:t>
            </w:r>
          </w:p>
        </w:tc>
        <w:tc>
          <w:tcPr>
            <w:tcW w:type="dxa" w:w="20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GSC</w:t>
            </w:r>
          </w:p>
        </w:tc>
      </w:tr>
      <w:tr>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BU-led (Local / Urgent)</w:t>
            </w:r>
          </w:p>
        </w:tc>
        <w:tc>
          <w:tcPr>
            <w:tcW w:type="dxa" w:w="53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BU-specific raw materials, site-specific sub-contracts, local spares, ad-hoc services</w:t>
            </w:r>
          </w:p>
        </w:tc>
        <w:tc>
          <w:tcPr>
            <w:tcW w:type="dxa" w:w="20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BU Procurement</w:t>
            </w:r>
          </w:p>
        </w:tc>
      </w:tr>
      <w:tr>
        <w:tc>
          <w:tcPr>
            <w:tcW w:type="dxa" w:w="20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Joint</w:t>
            </w:r>
          </w:p>
        </w:tc>
        <w:tc>
          <w:tcPr>
            <w:tcW w:type="dxa" w:w="53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Large CAPEX, multi-BU sourcing events, strategic vendors</w:t>
            </w:r>
          </w:p>
        </w:tc>
        <w:tc>
          <w:tcPr>
            <w:tcW w:type="dxa" w:w="20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GSC + BU jointly</w:t>
            </w:r>
          </w:p>
        </w:tc>
      </w:tr>
    </w:tbl>
    <w:p>
      <w:pPr>
        <w:pStyle w:val="Heading1"/>
        <w:pBdr>
          <w:bottom w:val="single" w:color="1F3864" w:sz="18" w:space="4"/>
        </w:pBdr>
        <w:spacing w:after="160" w:before="320"/>
      </w:pPr>
      <w:r>
        <w:rPr>
          <w:rFonts w:ascii="Calibri" w:cs="Calibri" w:eastAsia="Calibri" w:hAnsi="Calibri"/>
          <w:b/>
          <w:bCs/>
          <w:color w:val="1F3864"/>
          <w:sz w:val="30"/>
          <w:szCs w:val="30"/>
        </w:rPr>
        <w:t xml:space="preserve">4. RACI — BU ↔ GSC ↔ Finance ↔ Legal ↔ Compliance</w:t>
      </w:r>
    </w:p>
    <w:p>
      <w:pPr>
        <w:spacing w:after="60" w:before="60" w:line="290"/>
        <w:jc w:val="both"/>
      </w:pPr>
      <w:r>
        <w:rPr>
          <w:rFonts w:ascii="Calibri" w:cs="Calibri" w:eastAsia="Calibri" w:hAnsi="Calibri"/>
          <w:color w:val="222222"/>
          <w:sz w:val="22"/>
          <w:szCs w:val="22"/>
        </w:rPr>
        <w:t xml:space="preserve">The RACI matrix below defines who is Responsible (R), Accountable (A), Consulted (C) and Informed (I) for each procurement lifecycle step:</w:t>
      </w:r>
    </w:p>
    <w:p>
      <w:pPr>
        <w:pStyle w:val="ListParagraph"/>
        <w:numPr>
          <w:ilvl w:val="0"/>
          <w:numId w:val="2"/>
        </w:numPr>
        <w:spacing w:after="40" w:before="40"/>
      </w:pPr>
      <w:r>
        <w:rPr>
          <w:rFonts w:ascii="Calibri" w:cs="Calibri" w:eastAsia="Calibri" w:hAnsi="Calibri"/>
          <w:color w:val="222222"/>
          <w:sz w:val="22"/>
          <w:szCs w:val="22"/>
        </w:rPr>
        <w:t xml:space="preserve">R — Responsible: the individual or team that performs the work.</w:t>
      </w:r>
    </w:p>
    <w:p>
      <w:pPr>
        <w:pStyle w:val="ListParagraph"/>
        <w:numPr>
          <w:ilvl w:val="0"/>
          <w:numId w:val="2"/>
        </w:numPr>
        <w:spacing w:after="40" w:before="40"/>
      </w:pPr>
      <w:r>
        <w:rPr>
          <w:rFonts w:ascii="Calibri" w:cs="Calibri" w:eastAsia="Calibri" w:hAnsi="Calibri"/>
          <w:color w:val="222222"/>
          <w:sz w:val="22"/>
          <w:szCs w:val="22"/>
        </w:rPr>
        <w:t xml:space="preserve">A — Accountable: the single owner who approves the work and is ultimately answerable for it.</w:t>
      </w:r>
    </w:p>
    <w:p>
      <w:pPr>
        <w:pStyle w:val="ListParagraph"/>
        <w:numPr>
          <w:ilvl w:val="0"/>
          <w:numId w:val="2"/>
        </w:numPr>
        <w:spacing w:after="40" w:before="40"/>
      </w:pPr>
      <w:r>
        <w:rPr>
          <w:rFonts w:ascii="Calibri" w:cs="Calibri" w:eastAsia="Calibri" w:hAnsi="Calibri"/>
          <w:color w:val="222222"/>
          <w:sz w:val="22"/>
          <w:szCs w:val="22"/>
        </w:rPr>
        <w:t xml:space="preserve">C — Consulted: those whose input is sought before a decision; two-way communication.</w:t>
      </w:r>
    </w:p>
    <w:p>
      <w:pPr>
        <w:pStyle w:val="ListParagraph"/>
        <w:numPr>
          <w:ilvl w:val="0"/>
          <w:numId w:val="2"/>
        </w:numPr>
        <w:spacing w:after="40" w:before="40"/>
      </w:pPr>
      <w:r>
        <w:rPr>
          <w:rFonts w:ascii="Calibri" w:cs="Calibri" w:eastAsia="Calibri" w:hAnsi="Calibri"/>
          <w:color w:val="222222"/>
          <w:sz w:val="22"/>
          <w:szCs w:val="22"/>
        </w:rPr>
        <w:t xml:space="preserve">I — Informed: those who are kept up to date on progress or decisions; one-way communication.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160"/>
        <w:gridCol w:w="1160"/>
        <w:gridCol w:w="1160"/>
        <w:gridCol w:w="1160"/>
        <w:gridCol w:w="1160"/>
        <w:gridCol w:w="1160"/>
      </w:tblGrid>
      <w:tr>
        <w:trPr>
          <w:tblHeader/>
        </w:trPr>
        <w:tc>
          <w:tcPr>
            <w:tcW w:type="dxa" w:w="24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Lifecycle Step</w:t>
            </w:r>
          </w:p>
        </w:tc>
        <w:tc>
          <w:tcPr>
            <w:tcW w:type="dxa" w:w="116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BU</w:t>
            </w:r>
          </w:p>
        </w:tc>
        <w:tc>
          <w:tcPr>
            <w:tcW w:type="dxa" w:w="116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BU Proc.</w:t>
            </w:r>
          </w:p>
        </w:tc>
        <w:tc>
          <w:tcPr>
            <w:tcW w:type="dxa" w:w="116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GSC</w:t>
            </w:r>
          </w:p>
        </w:tc>
        <w:tc>
          <w:tcPr>
            <w:tcW w:type="dxa" w:w="116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Fin.</w:t>
            </w:r>
          </w:p>
        </w:tc>
        <w:tc>
          <w:tcPr>
            <w:tcW w:type="dxa" w:w="116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Legal</w:t>
            </w:r>
          </w:p>
        </w:tc>
        <w:tc>
          <w:tcPr>
            <w:tcW w:type="dxa" w:w="116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Comp.</w:t>
            </w:r>
          </w:p>
        </w:tc>
      </w:tr>
      <w:tr>
        <w:tc>
          <w:tcPr>
            <w:tcW w:type="dxa" w:w="24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Demand Planning</w:t>
            </w:r>
          </w:p>
        </w:tc>
        <w:tc>
          <w:tcPr>
            <w:tcW w:type="dxa" w:w="11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A</w:t>
            </w:r>
          </w:p>
        </w:tc>
        <w:tc>
          <w:tcPr>
            <w:tcW w:type="dxa" w:w="11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R</w:t>
            </w:r>
          </w:p>
        </w:tc>
        <w:tc>
          <w:tcPr>
            <w:tcW w:type="dxa" w:w="11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C</w:t>
            </w:r>
          </w:p>
        </w:tc>
        <w:tc>
          <w:tcPr>
            <w:tcW w:type="dxa" w:w="11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I</w:t>
            </w:r>
          </w:p>
        </w:tc>
        <w:tc>
          <w:tcPr>
            <w:tcW w:type="dxa" w:w="11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I</w:t>
            </w:r>
          </w:p>
        </w:tc>
        <w:tc>
          <w:tcPr>
            <w:tcW w:type="dxa" w:w="11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I</w:t>
            </w:r>
          </w:p>
        </w:tc>
      </w:tr>
      <w:t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Sourcing Strategy</w:t>
            </w:r>
          </w:p>
        </w:tc>
        <w:tc>
          <w:tcPr>
            <w:tcW w:type="dxa" w:w="1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C</w:t>
            </w:r>
          </w:p>
        </w:tc>
        <w:tc>
          <w:tcPr>
            <w:tcW w:type="dxa" w:w="1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C</w:t>
            </w:r>
          </w:p>
        </w:tc>
        <w:tc>
          <w:tcPr>
            <w:tcW w:type="dxa" w:w="1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A/R</w:t>
            </w:r>
          </w:p>
        </w:tc>
        <w:tc>
          <w:tcPr>
            <w:tcW w:type="dxa" w:w="1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C</w:t>
            </w:r>
          </w:p>
        </w:tc>
        <w:tc>
          <w:tcPr>
            <w:tcW w:type="dxa" w:w="1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C</w:t>
            </w:r>
          </w:p>
        </w:tc>
        <w:tc>
          <w:tcPr>
            <w:tcW w:type="dxa" w:w="1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I</w:t>
            </w:r>
          </w:p>
        </w:tc>
      </w:tr>
      <w:tr>
        <w:tc>
          <w:tcPr>
            <w:tcW w:type="dxa" w:w="24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Framework Negotiation</w:t>
            </w:r>
          </w:p>
        </w:tc>
        <w:tc>
          <w:tcPr>
            <w:tcW w:type="dxa" w:w="11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I</w:t>
            </w:r>
          </w:p>
        </w:tc>
        <w:tc>
          <w:tcPr>
            <w:tcW w:type="dxa" w:w="11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C</w:t>
            </w:r>
          </w:p>
        </w:tc>
        <w:tc>
          <w:tcPr>
            <w:tcW w:type="dxa" w:w="11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A/R</w:t>
            </w:r>
          </w:p>
        </w:tc>
        <w:tc>
          <w:tcPr>
            <w:tcW w:type="dxa" w:w="11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C</w:t>
            </w:r>
          </w:p>
        </w:tc>
        <w:tc>
          <w:tcPr>
            <w:tcW w:type="dxa" w:w="11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A</w:t>
            </w:r>
          </w:p>
        </w:tc>
        <w:tc>
          <w:tcPr>
            <w:tcW w:type="dxa" w:w="11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C</w:t>
            </w:r>
          </w:p>
        </w:tc>
      </w:tr>
      <w:t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Call-off / Local PR</w:t>
            </w:r>
          </w:p>
        </w:tc>
        <w:tc>
          <w:tcPr>
            <w:tcW w:type="dxa" w:w="1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A</w:t>
            </w:r>
          </w:p>
        </w:tc>
        <w:tc>
          <w:tcPr>
            <w:tcW w:type="dxa" w:w="1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R</w:t>
            </w:r>
          </w:p>
        </w:tc>
        <w:tc>
          <w:tcPr>
            <w:tcW w:type="dxa" w:w="1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I</w:t>
            </w:r>
          </w:p>
        </w:tc>
        <w:tc>
          <w:tcPr>
            <w:tcW w:type="dxa" w:w="1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I</w:t>
            </w:r>
          </w:p>
        </w:tc>
        <w:tc>
          <w:tcPr>
            <w:tcW w:type="dxa" w:w="1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I</w:t>
            </w:r>
          </w:p>
        </w:tc>
        <w:tc>
          <w:tcPr>
            <w:tcW w:type="dxa" w:w="1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I</w:t>
            </w:r>
          </w:p>
        </w:tc>
      </w:tr>
      <w:tr>
        <w:tc>
          <w:tcPr>
            <w:tcW w:type="dxa" w:w="24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Tender / Award</w:t>
            </w:r>
          </w:p>
        </w:tc>
        <w:tc>
          <w:tcPr>
            <w:tcW w:type="dxa" w:w="11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C</w:t>
            </w:r>
          </w:p>
        </w:tc>
        <w:tc>
          <w:tcPr>
            <w:tcW w:type="dxa" w:w="11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R</w:t>
            </w:r>
          </w:p>
        </w:tc>
        <w:tc>
          <w:tcPr>
            <w:tcW w:type="dxa" w:w="11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A</w:t>
            </w:r>
          </w:p>
        </w:tc>
        <w:tc>
          <w:tcPr>
            <w:tcW w:type="dxa" w:w="11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C</w:t>
            </w:r>
          </w:p>
        </w:tc>
        <w:tc>
          <w:tcPr>
            <w:tcW w:type="dxa" w:w="11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C</w:t>
            </w:r>
          </w:p>
        </w:tc>
        <w:tc>
          <w:tcPr>
            <w:tcW w:type="dxa" w:w="11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C</w:t>
            </w:r>
          </w:p>
        </w:tc>
      </w:tr>
      <w:t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Contract Execution</w:t>
            </w:r>
          </w:p>
        </w:tc>
        <w:tc>
          <w:tcPr>
            <w:tcW w:type="dxa" w:w="1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I</w:t>
            </w:r>
          </w:p>
        </w:tc>
        <w:tc>
          <w:tcPr>
            <w:tcW w:type="dxa" w:w="1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C</w:t>
            </w:r>
          </w:p>
        </w:tc>
        <w:tc>
          <w:tcPr>
            <w:tcW w:type="dxa" w:w="1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R</w:t>
            </w:r>
          </w:p>
        </w:tc>
        <w:tc>
          <w:tcPr>
            <w:tcW w:type="dxa" w:w="1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C</w:t>
            </w:r>
          </w:p>
        </w:tc>
        <w:tc>
          <w:tcPr>
            <w:tcW w:type="dxa" w:w="1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A</w:t>
            </w:r>
          </w:p>
        </w:tc>
        <w:tc>
          <w:tcPr>
            <w:tcW w:type="dxa" w:w="1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I</w:t>
            </w:r>
          </w:p>
        </w:tc>
      </w:tr>
      <w:tr>
        <w:tc>
          <w:tcPr>
            <w:tcW w:type="dxa" w:w="24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Supplier Performance</w:t>
            </w:r>
          </w:p>
        </w:tc>
        <w:tc>
          <w:tcPr>
            <w:tcW w:type="dxa" w:w="11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R</w:t>
            </w:r>
          </w:p>
        </w:tc>
        <w:tc>
          <w:tcPr>
            <w:tcW w:type="dxa" w:w="11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R</w:t>
            </w:r>
          </w:p>
        </w:tc>
        <w:tc>
          <w:tcPr>
            <w:tcW w:type="dxa" w:w="11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A</w:t>
            </w:r>
          </w:p>
        </w:tc>
        <w:tc>
          <w:tcPr>
            <w:tcW w:type="dxa" w:w="11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I</w:t>
            </w:r>
          </w:p>
        </w:tc>
        <w:tc>
          <w:tcPr>
            <w:tcW w:type="dxa" w:w="11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I</w:t>
            </w:r>
          </w:p>
        </w:tc>
        <w:tc>
          <w:tcPr>
            <w:tcW w:type="dxa" w:w="11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C</w:t>
            </w:r>
          </w:p>
        </w:tc>
      </w:tr>
      <w:tr>
        <w:tc>
          <w:tcPr>
            <w:tcW w:type="dxa" w:w="24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Exception / Deviation</w:t>
            </w:r>
          </w:p>
        </w:tc>
        <w:tc>
          <w:tcPr>
            <w:tcW w:type="dxa" w:w="1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R</w:t>
            </w:r>
          </w:p>
        </w:tc>
        <w:tc>
          <w:tcPr>
            <w:tcW w:type="dxa" w:w="1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C</w:t>
            </w:r>
          </w:p>
        </w:tc>
        <w:tc>
          <w:tcPr>
            <w:tcW w:type="dxa" w:w="1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C</w:t>
            </w:r>
          </w:p>
        </w:tc>
        <w:tc>
          <w:tcPr>
            <w:tcW w:type="dxa" w:w="1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C</w:t>
            </w:r>
          </w:p>
        </w:tc>
        <w:tc>
          <w:tcPr>
            <w:tcW w:type="dxa" w:w="1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C</w:t>
            </w:r>
          </w:p>
        </w:tc>
        <w:tc>
          <w:tcPr>
            <w:tcW w:type="dxa" w:w="1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A</w:t>
            </w:r>
          </w:p>
        </w:tc>
      </w:tr>
    </w:tbl>
    <w:p>
      <w:pPr>
        <w:pStyle w:val="Heading1"/>
        <w:pBdr>
          <w:bottom w:val="single" w:color="1F3864" w:sz="18" w:space="4"/>
        </w:pBdr>
        <w:spacing w:after="160" w:before="320"/>
      </w:pPr>
      <w:r>
        <w:rPr>
          <w:rFonts w:ascii="Calibri" w:cs="Calibri" w:eastAsia="Calibri" w:hAnsi="Calibri"/>
          <w:b/>
          <w:bCs/>
          <w:color w:val="1F3864"/>
          <w:sz w:val="30"/>
          <w:szCs w:val="30"/>
        </w:rPr>
        <w:t xml:space="preserve">5. Exception Path — Deviating from Group Frameworks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961" w:sz="24" w:space="0"/>
              <w:left w:val="single" w:color="BFBFBF" w:sz="4"/>
              <w:bottom w:val="single" w:color="BFBFBF" w:sz="4"/>
              <w:right w:val="single" w:color="BFBFBF" w:sz="4"/>
            </w:tcBorders>
            <w:shd w:fill="F2F5FB" w:val="clear"/>
            <w:tcMar>
              <w:top w:type="dxa" w:w="160"/>
              <w:left w:type="dxa" w:w="200"/>
              <w:bottom w:type="dxa" w:w="160"/>
              <w:right w:type="dxa" w:w="200"/>
            </w:tcMar>
          </w:tcPr>
          <w:p>
            <w:r>
              <w:rPr>
                <w:rFonts w:ascii="Calibri" w:cs="Calibri" w:eastAsia="Calibri" w:hAnsi="Calibri"/>
                <w:b/>
                <w:bCs/>
                <w:color w:val="1F3864"/>
                <w:sz w:val="20"/>
                <w:szCs w:val="20"/>
              </w:rPr>
              <w:t xml:space="preserve">FORMAL EXCEPTION MECHANISM</w:t>
            </w:r>
          </w:p>
          <w:p>
            <w:pPr>
              <w:spacing w:before="80"/>
            </w:pPr>
            <w:r>
              <w:rPr>
                <w:rFonts w:ascii="Calibri" w:cs="Calibri" w:eastAsia="Calibri" w:hAnsi="Calibri"/>
                <w:color w:val="333333"/>
                <w:sz w:val="20"/>
                <w:szCs w:val="20"/>
              </w:rPr>
              <w:t xml:space="preserve">A BU may deviate from a Group framework agreement ONLY via a formal written Exception Request. The request must state the business justification, quantified cost/benefit versus the framework, and the risk of non-deviation. Approval requires written endorsement of the GSC Head plus CFO, escalating to CEO where required by DOA.</w:t>
            </w:r>
          </w:p>
        </w:tc>
      </w:tr>
    </w:tbl>
    <w:p>
      <w:pPr>
        <w:spacing w:after="60" w:before="60" w:line="290"/>
        <w:jc w:val="both"/>
      </w:pPr>
      <w:r>
        <w:rPr>
          <w:rFonts w:ascii="Calibri" w:cs="Calibri" w:eastAsia="Calibri" w:hAnsi="Calibri"/>
          <w:color w:val="222222"/>
          <w:sz w:val="22"/>
          <w:szCs w:val="22"/>
        </w:rPr>
        <w:t xml:space="preserve">Exception Requests are logged and tracked by GSC; repeated exceptions in a category trigger a re-tender of the framework.</w:t>
      </w:r>
    </w:p>
    <w:p>
      <w:pPr>
        <w:pStyle w:val="Heading1"/>
        <w:pBdr>
          <w:bottom w:val="single" w:color="1F3864" w:sz="18" w:space="4"/>
        </w:pBdr>
        <w:spacing w:after="160" w:before="320"/>
      </w:pPr>
      <w:r>
        <w:rPr>
          <w:rFonts w:ascii="Calibri" w:cs="Calibri" w:eastAsia="Calibri" w:hAnsi="Calibri"/>
          <w:b/>
          <w:bCs/>
          <w:color w:val="1F3864"/>
          <w:sz w:val="30"/>
          <w:szCs w:val="30"/>
        </w:rPr>
        <w:t xml:space="preserve">6. Governance &amp; Escalation</w:t>
      </w:r>
    </w:p>
    <w:p>
      <w:pPr>
        <w:spacing w:after="60" w:before="60" w:line="290"/>
        <w:jc w:val="both"/>
      </w:pPr>
      <w:r>
        <w:rPr>
          <w:rFonts w:ascii="Calibri" w:cs="Calibri" w:eastAsia="Calibri" w:hAnsi="Calibri"/>
          <w:color w:val="222222"/>
          <w:sz w:val="22"/>
          <w:szCs w:val="22"/>
        </w:rPr>
        <w:t xml:space="preserve">A quarterly GSC–BU Steering Committee reviews framework coverage, savings delivered, exception volume and supplier risk. Unresolved issues escalate to the CFO. Material disputes escalate to the CEO.</w:t>
      </w:r>
    </w:p>
    <w:p>
      <w:pPr>
        <w:pStyle w:val="Heading1"/>
        <w:pBdr>
          <w:bottom w:val="single" w:color="1F3864" w:sz="18" w:space="4"/>
        </w:pBdr>
        <w:spacing w:after="160" w:before="320"/>
      </w:pPr>
      <w:r>
        <w:rPr>
          <w:rFonts w:ascii="Calibri" w:cs="Calibri" w:eastAsia="Calibri" w:hAnsi="Calibri"/>
          <w:b/>
          <w:bCs/>
          <w:color w:val="1F3864"/>
          <w:sz w:val="30"/>
          <w:szCs w:val="30"/>
        </w:rPr>
        <w:t xml:space="preserve">7. Flowchart</w:t>
      </w:r>
    </w:p>
    <w:p>
      <w:pPr>
        <w:spacing w:after="80" w:before="200"/>
        <w:jc w:val="center"/>
      </w:pPr>
      <w:r>
        <w:drawing>
          <wp:inline distT="0" distB="0" distL="0" distR="0">
            <wp:extent cx="4953000" cy="6477000"/>
            <wp:effectExtent t="0" r="0" b="0" l="0"/>
            <wp:docPr id="1" name="Figure 8: BU ↔ Group Procurement Interaction" descr="Figure 8: BU ↔ Group Procurement Interaction" title="Figure 8: BU ↔ Group Procurement Inter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953000" cy="6477000"/>
                    </a:xfrm>
                    <a:prstGeom prst="rect">
                      <a:avLst/>
                    </a:prstGeom>
                  </pic:spPr>
                </pic:pic>
              </a:graphicData>
            </a:graphic>
          </wp:inline>
        </w:drawing>
      </w:r>
    </w:p>
    <w:p>
      <w:pPr>
        <w:spacing w:after="200"/>
        <w:jc w:val="center"/>
      </w:pPr>
      <w:r>
        <w:rPr>
          <w:rFonts w:ascii="Calibri" w:cs="Calibri" w:eastAsia="Calibri" w:hAnsi="Calibri"/>
          <w:i/>
          <w:iCs/>
          <w:color w:val="6B7280"/>
          <w:sz w:val="18"/>
          <w:szCs w:val="18"/>
        </w:rPr>
        <w:t xml:space="preserve">Figure 8: BU ↔ Group Procurement Interaction</w:t>
      </w:r>
    </w:p>
    <w:p>
      <w:pPr>
        <w:pStyle w:val="Heading1"/>
        <w:pBdr>
          <w:bottom w:val="single" w:color="1F3864" w:sz="18" w:space="4"/>
        </w:pBdr>
        <w:spacing w:after="160" w:before="320"/>
      </w:pPr>
      <w:r>
        <w:rPr>
          <w:rFonts w:ascii="Calibri" w:cs="Calibri" w:eastAsia="Calibri" w:hAnsi="Calibri"/>
          <w:b/>
          <w:bCs/>
          <w:color w:val="1F3864"/>
          <w:sz w:val="30"/>
          <w:szCs w:val="30"/>
        </w:rPr>
        <w:t xml:space="preserve">8. Definitions &amp; Acronyms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rPr>
          <w:tblHeader/>
        </w:trPr>
        <w:tc>
          <w:tcPr>
            <w:tcW w:type="dxa" w:w="220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Acronym / Term</w:t>
            </w:r>
          </w:p>
        </w:tc>
        <w:tc>
          <w:tcPr>
            <w:tcW w:type="dxa" w:w="7160"/>
            <w:tcBorders>
              <w:top w:val="single" w:color="BFBFBF" w:sz="4"/>
              <w:left w:val="single" w:color="BFBFBF" w:sz="4"/>
              <w:bottom w:val="single" w:color="BFBFBF" w:sz="4"/>
              <w:right w:val="single" w:color="BFBFBF" w:sz="4"/>
            </w:tcBorders>
            <w:shd w:fill="1F3864" w:val="clear"/>
            <w:tcMar>
              <w:top w:type="dxa" w:w="100"/>
              <w:left w:type="dxa" w:w="140"/>
              <w:bottom w:type="dxa" w:w="100"/>
              <w:right w:type="dxa" w:w="140"/>
            </w:tcMar>
          </w:tcPr>
          <w:p>
            <w:pPr>
              <w:jc w:val="left"/>
            </w:pPr>
            <w:r>
              <w:rPr>
                <w:rFonts w:ascii="Calibri" w:cs="Calibri" w:eastAsia="Calibri" w:hAnsi="Calibri"/>
                <w:b/>
                <w:bCs/>
                <w:color w:val="FFFFFF"/>
                <w:sz w:val="20"/>
                <w:szCs w:val="20"/>
              </w:rPr>
              <w:t xml:space="preserve">Definition</w:t>
            </w:r>
          </w:p>
        </w:tc>
      </w:tr>
      <w:tr>
        <w:tc>
          <w:tcPr>
            <w:tcW w:type="dxa" w:w="22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BU</w:t>
            </w:r>
          </w:p>
        </w:tc>
        <w:tc>
          <w:tcPr>
            <w:tcW w:type="dxa" w:w="71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Business Unit</w:t>
            </w:r>
          </w:p>
        </w:tc>
      </w:tr>
      <w:tr>
        <w:tc>
          <w:tcPr>
            <w:tcW w:type="dxa" w:w="22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DOA</w:t>
            </w:r>
          </w:p>
        </w:tc>
        <w:tc>
          <w:tcPr>
            <w:tcW w:type="dxa" w:w="7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Delegation of Authority</w:t>
            </w:r>
          </w:p>
        </w:tc>
      </w:tr>
      <w:tr>
        <w:tc>
          <w:tcPr>
            <w:tcW w:type="dxa" w:w="22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GSC</w:t>
            </w:r>
          </w:p>
        </w:tc>
        <w:tc>
          <w:tcPr>
            <w:tcW w:type="dxa" w:w="71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Group Supply Chain</w:t>
            </w:r>
          </w:p>
        </w:tc>
      </w:tr>
      <w:tr>
        <w:tc>
          <w:tcPr>
            <w:tcW w:type="dxa" w:w="22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KPI</w:t>
            </w:r>
          </w:p>
        </w:tc>
        <w:tc>
          <w:tcPr>
            <w:tcW w:type="dxa" w:w="7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Key Performance Indicator</w:t>
            </w:r>
          </w:p>
        </w:tc>
      </w:tr>
      <w:tr>
        <w:tc>
          <w:tcPr>
            <w:tcW w:type="dxa" w:w="22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Oracle</w:t>
            </w:r>
          </w:p>
        </w:tc>
        <w:tc>
          <w:tcPr>
            <w:tcW w:type="dxa" w:w="71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Enterprise Resource Planning System</w:t>
            </w:r>
          </w:p>
        </w:tc>
      </w:tr>
      <w:tr>
        <w:tc>
          <w:tcPr>
            <w:tcW w:type="dxa" w:w="22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PO</w:t>
            </w:r>
          </w:p>
        </w:tc>
        <w:tc>
          <w:tcPr>
            <w:tcW w:type="dxa" w:w="7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Purchase Order</w:t>
            </w:r>
          </w:p>
        </w:tc>
      </w:tr>
      <w:tr>
        <w:tc>
          <w:tcPr>
            <w:tcW w:type="dxa" w:w="22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PR</w:t>
            </w:r>
          </w:p>
        </w:tc>
        <w:tc>
          <w:tcPr>
            <w:tcW w:type="dxa" w:w="71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Purchase Requisition</w:t>
            </w:r>
          </w:p>
        </w:tc>
      </w:tr>
      <w:tr>
        <w:tc>
          <w:tcPr>
            <w:tcW w:type="dxa" w:w="22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RACI</w:t>
            </w:r>
          </w:p>
        </w:tc>
        <w:tc>
          <w:tcPr>
            <w:tcW w:type="dxa" w:w="7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Responsible Accountable Consulted Informed</w:t>
            </w:r>
          </w:p>
        </w:tc>
      </w:tr>
      <w:tr>
        <w:tc>
          <w:tcPr>
            <w:tcW w:type="dxa" w:w="220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RFQ</w:t>
            </w:r>
          </w:p>
        </w:tc>
        <w:tc>
          <w:tcPr>
            <w:tcW w:type="dxa" w:w="7160"/>
            <w:tcBorders>
              <w:top w:val="single" w:color="BFBFBF" w:sz="4"/>
              <w:left w:val="single" w:color="BFBFBF" w:sz="4"/>
              <w:bottom w:val="single" w:color="BFBFBF" w:sz="4"/>
              <w:right w:val="single" w:color="BFBFBF" w:sz="4"/>
            </w:tcBorders>
            <w:shd w:fill="F2F5FB" w:val="clear"/>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Request for Quotation</w:t>
            </w:r>
          </w:p>
        </w:tc>
      </w:tr>
      <w:tr>
        <w:tc>
          <w:tcPr>
            <w:tcW w:type="dxa" w:w="220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SLA</w:t>
            </w:r>
          </w:p>
        </w:tc>
        <w:tc>
          <w:tcPr>
            <w:tcW w:type="dxa" w:w="7160"/>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left"/>
            </w:pPr>
            <w:r>
              <w:rPr>
                <w:rFonts w:ascii="Calibri" w:cs="Calibri" w:eastAsia="Calibri" w:hAnsi="Calibri"/>
                <w:b w:val="false"/>
                <w:bCs w:val="false"/>
                <w:color w:val="222222"/>
                <w:sz w:val="20"/>
                <w:szCs w:val="20"/>
              </w:rPr>
              <w:t xml:space="preserve">Service Level Agreement</w:t>
            </w:r>
          </w:p>
        </w:tc>
      </w:tr>
    </w:tbl>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F3864" w:sz="6" w:space="4"/>
      </w:pBdr>
      <w:tabs>
        <w:tab w:val="right" w:pos="9026"/>
      </w:tabs>
    </w:pPr>
    <w:r>
      <w:rPr>
        <w:rFonts w:ascii="Calibri" w:cs="Calibri" w:eastAsia="Calibri" w:hAnsi="Calibri"/>
        <w:color w:val="1F3864"/>
        <w:sz w:val="18"/>
        <w:szCs w:val="18"/>
      </w:rPr>
      <w:t xml:space="preserve">P-POL-007  |  Effective: 08 April 2026</w:t>
    </w:r>
    <w:r>
      <w:rPr>
        <w:rFonts w:ascii="Calibri" w:cs="Calibri" w:eastAsia="Calibri" w:hAnsi="Calibri"/>
        <w:color w:val="6B7280"/>
        <w:sz w:val="18"/>
        <w:szCs w:val="18"/>
      </w:rPr>
      <w:t xml:space="preserve">	Page </w:t>
    </w:r>
    <w:r>
      <w:rPr>
        <w:rFonts w:ascii="Calibri" w:cs="Calibri" w:eastAsia="Calibri" w:hAnsi="Calibri"/>
        <w:color w:val="6B7280"/>
        <w:sz w:val="18"/>
        <w:szCs w:val="18"/>
      </w:rPr>
      <w:fldChar w:fldCharType="begin"/>
      <w:instrText xml:space="preserve">PAGE</w:instrText>
      <w:fldChar w:fldCharType="separate"/>
      <w:fldChar w:fldCharType="end"/>
    </w:r>
    <w:r>
      <w:rPr>
        <w:rFonts w:ascii="Calibri" w:cs="Calibri" w:eastAsia="Calibri" w:hAnsi="Calibri"/>
        <w:color w:val="6B7280"/>
        <w:sz w:val="18"/>
        <w:szCs w:val="18"/>
      </w:rPr>
      <w:t xml:space="preserve"> of </w:t>
    </w:r>
    <w:r>
      <w:rPr>
        <w:rFonts w:ascii="Calibri" w:cs="Calibri" w:eastAsia="Calibri" w:hAnsi="Calibri"/>
        <w:color w:val="6B72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none"/>
        <w:left w:val="none"/>
        <w:bottom w:val="single" w:color="1F3864" w:sz="6"/>
        <w:right w:val="none"/>
        <w:insideH w:val="none"/>
        <w:insideV w:val="none"/>
      </w:tblBorders>
    </w:tblPr>
    <w:tblGrid>
      <w:gridCol w:w="4200"/>
      <w:gridCol w:w="3000"/>
      <w:gridCol w:w="2160"/>
    </w:tblGrid>
    <w:tr>
      <w:tc>
        <w:tcPr>
          <w:tcW w:type="dxa" w:w="4200"/>
          <w:tcBorders>
            <w:top w:val="none"/>
            <w:left w:val="none"/>
            <w:bottom w:val="single" w:color="1F3864" w:sz="6"/>
            <w:right w:val="none"/>
          </w:tcBorders>
        </w:tcPr>
        <w:p>
          <w:r>
            <w:rPr>
              <w:rFonts w:ascii="Calibri" w:cs="Calibri" w:eastAsia="Calibri" w:hAnsi="Calibri"/>
              <w:b/>
              <w:bCs/>
              <w:color w:val="1F3864"/>
              <w:sz w:val="18"/>
              <w:szCs w:val="18"/>
            </w:rPr>
            <w:t xml:space="preserve">Bukhatir Group | Group Supply Chain</w:t>
          </w:r>
        </w:p>
      </w:tc>
      <w:tc>
        <w:tcPr>
          <w:tcW w:type="dxa" w:w="3000"/>
          <w:tcBorders>
            <w:top w:val="none"/>
            <w:left w:val="none"/>
            <w:bottom w:val="single" w:color="1F3864" w:sz="6"/>
            <w:right w:val="none"/>
          </w:tcBorders>
        </w:tcPr>
        <w:p>
          <w:pPr>
            <w:jc w:val="center"/>
          </w:pPr>
          <w:r>
            <w:rPr>
              <w:rFonts w:ascii="Calibri" w:cs="Calibri" w:eastAsia="Calibri" w:hAnsi="Calibri"/>
              <w:b/>
              <w:bCs/>
              <w:color w:val="2E75B6"/>
              <w:sz w:val="18"/>
              <w:szCs w:val="18"/>
            </w:rPr>
            <w:t xml:space="preserve">BU Procurement Interaction</w:t>
          </w:r>
        </w:p>
      </w:tc>
      <w:tc>
        <w:tcPr>
          <w:tcW w:type="dxa" w:w="2160"/>
          <w:tcBorders>
            <w:top w:val="none"/>
            <w:left w:val="none"/>
            <w:bottom w:val="single" w:color="1F3864" w:sz="6"/>
            <w:right w:val="none"/>
          </w:tcBorders>
        </w:tcPr>
        <w:p>
          <w:pPr>
            <w:jc w:val="right"/>
          </w:pPr>
          <w:r>
            <w:rPr>
              <w:rFonts w:ascii="Calibri" w:cs="Calibri" w:eastAsia="Calibri" w:hAnsi="Calibri"/>
              <w:color w:val="6B7280"/>
              <w:sz w:val="18"/>
              <w:szCs w:val="18"/>
            </w:rPr>
            <w:t xml:space="preserve">Ver 0.4 | 08 APR 2026</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abstractNum w:abstractNumId="3" w15:restartNumberingAfterBreak="0">
    <w:multiLevelType w:val="hybridMultilevel"/>
    <w:lvl w:ilvl="0" w15:tentative="1">
      <w:start w:val="1"/>
      <w:numFmt w:val="decimal"/>
      <w:lvlText w:val="%1."/>
      <w:lvlJc w:val="left"/>
      <w:pPr>
        <w:ind w:left="54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Calibri" w:cs="Calibri" w:eastAsia="Calibri" w:hAnsi="Calibri"/>
      <w:b/>
      <w:bCs/>
      <w:color w:val="1F3864"/>
      <w:sz w:val="32"/>
      <w:szCs w:val="32"/>
    </w:rPr>
  </w:style>
  <w:style w:type="paragraph" w:styleId="Heading2">
    <w:name w:val="Heading 2"/>
    <w:basedOn w:val="Normal"/>
    <w:next w:val="Normal"/>
    <w:qFormat/>
    <w:pPr>
      <w:spacing w:after="100" w:before="220"/>
      <w:outlineLvl w:val="1"/>
    </w:pPr>
    <w:rPr>
      <w:rFonts w:ascii="Calibri" w:cs="Calibri" w:eastAsia="Calibri" w:hAnsi="Calibri"/>
      <w:b/>
      <w:bCs/>
      <w:color w:val="2E75B6"/>
      <w:sz w:val="28"/>
      <w:szCs w:val="28"/>
    </w:rPr>
  </w:style>
  <w:style w:type="paragraph" w:styleId="Heading3">
    <w:name w:val="Heading 3"/>
    <w:basedOn w:val="Normal"/>
    <w:next w:val="Normal"/>
    <w:qFormat/>
    <w:pPr>
      <w:spacing w:after="80" w:before="160"/>
      <w:outlineLvl w:val="2"/>
    </w:pPr>
    <w:rPr>
      <w:rFonts w:ascii="Calibri" w:cs="Calibri" w:eastAsia="Calibri" w:hAnsi="Calibri"/>
      <w:b/>
      <w:bCs/>
      <w:color w:val="1F386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d58eebb268470dcfa81872ecbe2680d632aef49b.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 Procurement Interaction - P-POL-007</dc:title>
  <dc:creator>Bukhatir Group - Group Supply Chain</dc:creator>
  <cp:lastModifiedBy>Un-named</cp:lastModifiedBy>
  <cp:revision>1</cp:revision>
  <dcterms:created xsi:type="dcterms:W3CDTF">2026-04-14T11:25:19.032Z</dcterms:created>
  <dcterms:modified xsi:type="dcterms:W3CDTF">2026-04-14T11:25:19.032Z</dcterms:modified>
</cp:coreProperties>
</file>

<file path=docProps/custom.xml><?xml version="1.0" encoding="utf-8"?>
<Properties xmlns="http://schemas.openxmlformats.org/officeDocument/2006/custom-properties" xmlns:vt="http://schemas.openxmlformats.org/officeDocument/2006/docPropsVTypes"/>
</file>