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Supplier Evaluation &amp; Management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Supplier Evaluation &amp; Management</w:t>
      </w:r>
    </w:p>
    <w:p>
      <w:pPr>
        <w:spacing w:after="400"/>
        <w:jc w:val="center"/>
      </w:pPr>
      <w:r>
        <w:rPr>
          <w:rFonts w:ascii="Calibri" w:cs="Calibri" w:eastAsia="Calibri" w:hAnsi="Calibri"/>
          <w:i/>
          <w:iCs/>
          <w:color w:val="6B7280"/>
          <w:sz w:val="24"/>
          <w:szCs w:val="24"/>
        </w:rPr>
        <w:t xml:space="preserve">Lifecycle, KPIs &amp; ASL Governance</w:t>
      </w:r>
    </w:p>
    <w:p>
      <w:pPr>
        <w:spacing w:after="600" w:before="600"/>
      </w:pPr>
      <w:r>
        <w:t xml:space="preserve"/>
      </w:r>
    </w:p>
    <w:p>
      <w:pPr>
        <w:jc w:val="center"/>
      </w:pPr>
      <w:r>
        <w:rPr>
          <w:rFonts w:ascii="Calibri" w:cs="Calibri" w:eastAsia="Calibri" w:hAnsi="Calibri"/>
          <w:b/>
          <w:bCs/>
          <w:color w:val="1F3864"/>
          <w:sz w:val="28"/>
          <w:szCs w:val="28"/>
        </w:rPr>
        <w:t xml:space="preserve">Document No: P-POL-006</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Supplier Evaluation &amp; Management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Supplier Evaluation &amp; Management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SOP defines the end-to-end process for managing suppliers across the Bukhatir Group — from pre-qualification, through onboarding, performance monitoring and periodic review, to off-boarding. It establishes risk-tiered due diligence, quantitative KPIs and governance of the Approved Supplier List (ASL).</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suppliers of goods, services, works and sub-contracts to any Group Business Unit.</w:t>
      </w:r>
    </w:p>
    <w:p>
      <w:pPr>
        <w:pStyle w:val="Heading1"/>
        <w:pBdr>
          <w:bottom w:val="single" w:color="1F3864" w:sz="18" w:space="4"/>
        </w:pBdr>
        <w:spacing w:after="160" w:before="320"/>
      </w:pPr>
      <w:r>
        <w:rPr>
          <w:rFonts w:ascii="Calibri" w:cs="Calibri" w:eastAsia="Calibri" w:hAnsi="Calibri"/>
          <w:b/>
          <w:bCs/>
          <w:color w:val="1F3864"/>
          <w:sz w:val="30"/>
          <w:szCs w:val="30"/>
        </w:rPr>
        <w:t xml:space="preserve">3. Four-Stage Supplier Lifecycle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400"/>
        <w:gridCol w:w="37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Stage</w:t>
            </w:r>
          </w:p>
        </w:tc>
        <w:tc>
          <w:tcPr>
            <w:tcW w:type="dxa" w:w="3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Purpose</w:t>
            </w:r>
          </w:p>
        </w:tc>
        <w:tc>
          <w:tcPr>
            <w:tcW w:type="dxa" w:w="3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Key Outputs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 Pre-qualification</w:t>
            </w:r>
          </w:p>
        </w:tc>
        <w:tc>
          <w:tcPr>
            <w:tcW w:type="dxa" w:w="3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Screen and shortlist prospective suppliers against minimum criteria</w:t>
            </w:r>
          </w:p>
        </w:tc>
        <w:tc>
          <w:tcPr>
            <w:tcW w:type="dxa" w:w="3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Pre-qualification questionnaire (PQQ), risk classification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 Onboarding</w:t>
            </w:r>
          </w:p>
        </w:tc>
        <w:tc>
          <w:tcPr>
            <w:tcW w:type="dxa" w:w="3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Formal admission to the ASL with appropriate due diligence</w:t>
            </w:r>
          </w:p>
        </w:tc>
        <w:tc>
          <w:tcPr>
            <w:tcW w:type="dxa" w:w="3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Signed Supplier Code of Conduct, ASL entry, master data</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 Performance Monitoring</w:t>
            </w:r>
          </w:p>
        </w:tc>
        <w:tc>
          <w:tcPr>
            <w:tcW w:type="dxa" w:w="3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Measure delivery performance against KPIs</w:t>
            </w:r>
          </w:p>
        </w:tc>
        <w:tc>
          <w:tcPr>
            <w:tcW w:type="dxa" w:w="3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Quarterly scorecards, NCRs, corrective actions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 Periodic Review / Off-boarding</w:t>
            </w:r>
          </w:p>
        </w:tc>
        <w:tc>
          <w:tcPr>
            <w:tcW w:type="dxa" w:w="3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Confirm continued suitability or exit supplier</w:t>
            </w:r>
          </w:p>
        </w:tc>
        <w:tc>
          <w:tcPr>
            <w:tcW w:type="dxa" w:w="3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 Committee decision: Approved / Warning / Suspended / Removed</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Risk-Tiered Onboarding</w:t>
      </w:r>
    </w:p>
    <w:p>
      <w:pPr>
        <w:spacing w:after="60" w:before="60" w:line="290"/>
        <w:jc w:val="both"/>
      </w:pPr>
      <w:r>
        <w:rPr>
          <w:rFonts w:ascii="Calibri" w:cs="Calibri" w:eastAsia="Calibri" w:hAnsi="Calibri"/>
          <w:color w:val="222222"/>
          <w:sz w:val="22"/>
          <w:szCs w:val="22"/>
        </w:rPr>
        <w:t xml:space="preserve">Onboarding rigor scales with supplier criticality and risk exposure.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600"/>
        <w:gridCol w:w="5560"/>
      </w:tblGrid>
      <w:tr>
        <w:trPr>
          <w:tblHeader/>
        </w:trPr>
        <w:tc>
          <w:tcPr>
            <w:tcW w:type="dxa" w:w="1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Tier</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Classification</w:t>
            </w:r>
          </w:p>
        </w:tc>
        <w:tc>
          <w:tcPr>
            <w:tcW w:type="dxa" w:w="5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Due Diligence</w:t>
            </w:r>
          </w:p>
        </w:tc>
      </w:tr>
      <w:tr>
        <w:tc>
          <w:tcPr>
            <w:tcW w:type="dxa" w:w="1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Tier 1</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Critical / Strategic</w:t>
            </w:r>
          </w:p>
        </w:tc>
        <w:tc>
          <w:tcPr>
            <w:tcW w:type="dxa" w:w="5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Full financial health check, extended questionnaire, site visit, references</w:t>
            </w:r>
          </w:p>
        </w:tc>
      </w:tr>
      <w:tr>
        <w:tc>
          <w:tcPr>
            <w:tcW w:type="dxa" w:w="1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Tier 2</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Important / Recurring</w:t>
            </w:r>
          </w:p>
        </w:tc>
        <w:tc>
          <w:tcPr>
            <w:tcW w:type="dxa" w:w="5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Standard questionnaire, document verification, references</w:t>
            </w:r>
          </w:p>
        </w:tc>
      </w:tr>
      <w:tr>
        <w:tc>
          <w:tcPr>
            <w:tcW w:type="dxa" w:w="1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Tier 3</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Transactional / Low-risk</w:t>
            </w:r>
          </w:p>
        </w:tc>
        <w:tc>
          <w:tcPr>
            <w:tcW w:type="dxa" w:w="5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Streamlined onboarding: basic KYC, trade licence, VAT registration, bank details verification</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Quantitative KPIs</w:t>
      </w:r>
    </w:p>
    <w:p>
      <w:pPr>
        <w:spacing w:after="60" w:before="60" w:line="290"/>
        <w:jc w:val="both"/>
      </w:pPr>
      <w:r>
        <w:rPr>
          <w:rFonts w:ascii="Calibri" w:cs="Calibri" w:eastAsia="Calibri" w:hAnsi="Calibri"/>
          <w:color w:val="222222"/>
          <w:sz w:val="22"/>
          <w:szCs w:val="22"/>
        </w:rPr>
        <w:t xml:space="preserve">Supplier performance is measured on the following KPIs, captured in Oracle and aggregated into a quarterly scorecard.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5360"/>
        <w:gridCol w:w="180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5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5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 delivery rate</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95%</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Quality NCR Rate</w:t>
            </w:r>
          </w:p>
        </w:tc>
        <w:tc>
          <w:tcPr>
            <w:tcW w:type="dxa" w:w="5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Non-conformance reports per 100 deliveries</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2</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HSE Incident Rate</w:t>
            </w:r>
          </w:p>
        </w:tc>
        <w:tc>
          <w:tcPr>
            <w:tcW w:type="dxa" w:w="5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Incidents per month at Group sites</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Invoice Accuracy</w:t>
            </w:r>
          </w:p>
        </w:tc>
        <w:tc>
          <w:tcPr>
            <w:tcW w:type="dxa" w:w="5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invoices passing three-way match first time</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98%</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Responsiveness</w:t>
            </w:r>
          </w:p>
        </w:tc>
        <w:tc>
          <w:tcPr>
            <w:tcW w:type="dxa" w:w="5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Avg. response time to RFI / clarification</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2 business days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Performance States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4400"/>
        <w:gridCol w:w="3360"/>
      </w:tblGrid>
      <w:tr>
        <w:trPr>
          <w:tblHeader/>
        </w:trPr>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State</w:t>
            </w:r>
          </w:p>
        </w:tc>
        <w:tc>
          <w:tcPr>
            <w:tcW w:type="dxa" w:w="4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Criteria</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Action</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KPIs on/above target</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Continue as ASL; eligible for all events</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Warning</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One KPI below target</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Corrective action plan within 30 days</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Suspended</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Multiple KPIs below target or HSE/compliance breach</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Temporary exclusion from new awards; root-cause review</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Removed / Blacklisted</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Persistent failure, serious breach, fraud or Code of Conduct breach</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Removal from ASL and Oracle; notification to all BUs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Supplier Code of Conduct</w:t>
      </w:r>
    </w:p>
    <w:p>
      <w:pPr>
        <w:spacing w:after="60" w:before="60" w:line="290"/>
        <w:jc w:val="both"/>
      </w:pPr>
      <w:r>
        <w:rPr>
          <w:rFonts w:ascii="Calibri" w:cs="Calibri" w:eastAsia="Calibri" w:hAnsi="Calibri"/>
          <w:color w:val="222222"/>
          <w:sz w:val="22"/>
          <w:szCs w:val="22"/>
        </w:rPr>
        <w:t xml:space="preserve">Every supplier shall sign the Group Supplier Code of Conduct at onboarding. The Code covers ethics, anti-bribery, HSE, data protection and sub-contracting. Breach of the Code is grounds for immediate suspension pending investigation.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8. Annual Two-Way Supplier Feedback Survey</w:t>
      </w:r>
    </w:p>
    <w:p>
      <w:pPr>
        <w:spacing w:after="60" w:before="60" w:line="290"/>
        <w:jc w:val="both"/>
      </w:pPr>
      <w:r>
        <w:rPr>
          <w:rFonts w:ascii="Calibri" w:cs="Calibri" w:eastAsia="Calibri" w:hAnsi="Calibri"/>
          <w:color w:val="222222"/>
          <w:sz w:val="22"/>
          <w:szCs w:val="22"/>
        </w:rPr>
        <w:t xml:space="preserve">Once per year GSC runs a two-way feedback survey: the Group rates the supplier and the supplier rates the Group. Results are shared with the supplier and used to drive joint improvement actions. Low Group-side scores (e.g., late payment, unclear specifications) are actioned by GSC and Finance.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9. ASL &amp; Blacklist Governance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GROUP-LEVEL ASL GOVERNANCE</w:t>
            </w:r>
          </w:p>
          <w:p>
            <w:pPr>
              <w:spacing w:before="80"/>
            </w:pPr>
            <w:r>
              <w:rPr>
                <w:rFonts w:ascii="Calibri" w:cs="Calibri" w:eastAsia="Calibri" w:hAnsi="Calibri"/>
                <w:color w:val="333333"/>
                <w:sz w:val="20"/>
                <w:szCs w:val="20"/>
              </w:rPr>
              <w:t xml:space="preserve">The Approved Supplier List (ASL) is governed at Group level by the Group Procurement team, chaired by the Group Head of Procurement. GSC maintains the Blacklisted Suppliers list. All BU Procurement teams shall communicate to GSC whenever they wish to blacklist a vendor, with supporting documents.</w:t>
            </w:r>
          </w:p>
        </w:tc>
      </w:tr>
    </w:tbl>
    <w:p>
      <w:pPr>
        <w:pStyle w:val="ListParagraph"/>
        <w:numPr>
          <w:ilvl w:val="0"/>
          <w:numId w:val="2"/>
        </w:numPr>
        <w:spacing w:after="40" w:before="40"/>
      </w:pPr>
      <w:r>
        <w:rPr>
          <w:rFonts w:ascii="Calibri" w:cs="Calibri" w:eastAsia="Calibri" w:hAnsi="Calibri"/>
          <w:color w:val="222222"/>
          <w:sz w:val="22"/>
          <w:szCs w:val="22"/>
        </w:rPr>
        <w:t xml:space="preserve">A quarterly ASL Review Committee — chaired by the Group Head of Procurement and including Finance, Legal, Compliance and BU Procurement — reviews all performance states and admission/removal decisions.</w:t>
      </w:r>
    </w:p>
    <w:p>
      <w:pPr>
        <w:pStyle w:val="ListParagraph"/>
        <w:numPr>
          <w:ilvl w:val="0"/>
          <w:numId w:val="2"/>
        </w:numPr>
        <w:spacing w:after="40" w:before="40"/>
      </w:pPr>
      <w:r>
        <w:rPr>
          <w:rFonts w:ascii="Calibri" w:cs="Calibri" w:eastAsia="Calibri" w:hAnsi="Calibri"/>
          <w:color w:val="222222"/>
          <w:sz w:val="22"/>
          <w:szCs w:val="22"/>
        </w:rPr>
        <w:t xml:space="preserve">Suppliers with no transaction for 24 consecutive months are archived from the active ASL. Re-activation requires refreshed onboarding.</w:t>
      </w:r>
    </w:p>
    <w:p>
      <w:pPr>
        <w:pStyle w:val="ListParagraph"/>
        <w:numPr>
          <w:ilvl w:val="0"/>
          <w:numId w:val="2"/>
        </w:numPr>
        <w:spacing w:after="40" w:before="40"/>
      </w:pPr>
      <w:r>
        <w:rPr>
          <w:rFonts w:ascii="Calibri" w:cs="Calibri" w:eastAsia="Calibri" w:hAnsi="Calibri"/>
          <w:color w:val="222222"/>
          <w:sz w:val="22"/>
          <w:szCs w:val="22"/>
        </w:rPr>
        <w:t xml:space="preserve">Oracle shall not allow POs to non-ASL suppliers without formal exception approval.</w:t>
      </w:r>
    </w:p>
    <w:p>
      <w:pPr>
        <w:pStyle w:val="ListParagraph"/>
        <w:numPr>
          <w:ilvl w:val="0"/>
          <w:numId w:val="2"/>
        </w:numPr>
        <w:spacing w:after="40" w:before="40"/>
      </w:pPr>
      <w:r>
        <w:rPr>
          <w:rFonts w:ascii="Calibri" w:cs="Calibri" w:eastAsia="Calibri" w:hAnsi="Calibri"/>
          <w:color w:val="222222"/>
          <w:sz w:val="22"/>
          <w:szCs w:val="22"/>
        </w:rPr>
        <w:t xml:space="preserve">Blacklisted vendors are removed from Oracle after clearing any outstanding financial obligations, preventing any BU from issuing POs to them.</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HSE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Health Safety and Environment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NCR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Non-Conformance Report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NDA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Non-Disclosure Agreement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PQQ</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Pre-Qualification Questionnaire</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SRM</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Relationship Management</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P-POL-006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Supplier Evaluation &amp; Management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Supplier Evaluation &amp; Management - P-POL-006</dc:title>
  <dc:creator>Bukhatir Group - Group Supply Chain</dc:creator>
  <cp:lastModifiedBy>Un-named</cp:lastModifiedBy>
  <cp:revision>1</cp:revision>
  <dcterms:created xsi:type="dcterms:W3CDTF">2026-04-13T04:45:55.623Z</dcterms:created>
  <dcterms:modified xsi:type="dcterms:W3CDTF">2026-04-13T04:45:55.623Z</dcterms:modified>
</cp:coreProperties>
</file>

<file path=docProps/custom.xml><?xml version="1.0" encoding="utf-8"?>
<Properties xmlns="http://schemas.openxmlformats.org/officeDocument/2006/custom-properties" xmlns:vt="http://schemas.openxmlformats.org/officeDocument/2006/docPropsVTypes"/>
</file>