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P-POL-005</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Purchase Orders</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Purchase Orders</w:t>
      </w:r>
    </w:p>
    <w:p>
      <w:pPr>
        <w:spacing w:after="400"/>
        <w:jc w:val="center"/>
      </w:pPr>
      <w:r>
        <w:rPr>
          <w:rFonts w:ascii="Calibri" w:cs="Calibri" w:eastAsia="Calibri" w:hAnsi="Calibri"/>
          <w:i/>
          <w:iCs/>
          <w:color w:val="6B7280"/>
          <w:sz w:val="24"/>
          <w:szCs w:val="24"/>
        </w:rPr>
        <w:t xml:space="preserve">Issue, Amendments, GRN &amp; Three-Way Match</w:t>
      </w:r>
    </w:p>
    <w:p>
      <w:pPr>
        <w:spacing w:after="600" w:before="600"/>
      </w:pPr>
      <w:r>
        <w:t xml:space="preserve"/>
      </w:r>
    </w:p>
    <w:p>
      <w:pPr>
        <w:jc w:val="center"/>
      </w:pPr>
      <w:r>
        <w:rPr>
          <w:rFonts w:ascii="Calibri" w:cs="Calibri" w:eastAsia="Calibri" w:hAnsi="Calibri"/>
          <w:b/>
          <w:bCs/>
          <w:color w:val="1F3864"/>
          <w:sz w:val="28"/>
          <w:szCs w:val="28"/>
        </w:rPr>
        <w:t xml:space="preserve">Document No: P-POL-005</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Purchase Orders</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Purchase Orders</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SOP defines the process for issuing, amending and closing Purchase Orders (POs) in the Bukhatir Group Oracle system. Standard Terms and Conditions (T&amp;Cs) are auto-selected within Oracle when raising a PO and do not require manual selection.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POs raised by the Group. The PO is the formal, auditable instrument authorising a supplier to deliver goods or services.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Change-Order Control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VERBAL CHANGES PROHIBITED</w:t>
            </w:r>
          </w:p>
          <w:p>
            <w:pPr>
              <w:spacing w:before="80"/>
            </w:pPr>
            <w:r>
              <w:rPr>
                <w:rFonts w:ascii="Calibri" w:cs="Calibri" w:eastAsia="Calibri" w:hAnsi="Calibri"/>
                <w:color w:val="333333"/>
                <w:sz w:val="20"/>
                <w:szCs w:val="20"/>
              </w:rPr>
              <w:t xml:space="preserve">No change to PO scope, price, quantity or delivery terms shall be made without a formal, written PO amendment approved per DOA. Verbal instructions to suppliers are strictly prohibited and shall not be honoured for payment.</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Goods Receipt Note (GRN) &amp; Three-Way Match</w:t>
      </w:r>
    </w:p>
    <w:p>
      <w:pPr>
        <w:spacing w:after="60" w:before="60" w:line="290"/>
        <w:jc w:val="both"/>
      </w:pPr>
      <w:r>
        <w:rPr>
          <w:rFonts w:ascii="Calibri" w:cs="Calibri" w:eastAsia="Calibri" w:hAnsi="Calibri"/>
          <w:color w:val="222222"/>
          <w:sz w:val="22"/>
          <w:szCs w:val="22"/>
        </w:rPr>
        <w:t xml:space="preserve">Payment shall only be released after a mandatory, system-enforced three-way match of PO, GRN and Invoice:</w:t>
      </w:r>
    </w:p>
    <w:p>
      <w:pPr>
        <w:pStyle w:val="ListParagraph"/>
        <w:numPr>
          <w:ilvl w:val="0"/>
          <w:numId w:val="2"/>
        </w:numPr>
        <w:spacing w:after="40" w:before="40"/>
      </w:pPr>
      <w:r>
        <w:rPr>
          <w:rFonts w:ascii="Calibri" w:cs="Calibri" w:eastAsia="Calibri" w:hAnsi="Calibri"/>
          <w:color w:val="222222"/>
          <w:sz w:val="22"/>
          <w:szCs w:val="22"/>
        </w:rPr>
        <w:t xml:space="preserve">PO: raised, approved and dispatched to the supplier via Oracle.</w:t>
      </w:r>
    </w:p>
    <w:p>
      <w:pPr>
        <w:pStyle w:val="ListParagraph"/>
        <w:numPr>
          <w:ilvl w:val="0"/>
          <w:numId w:val="2"/>
        </w:numPr>
        <w:spacing w:after="40" w:before="40"/>
      </w:pPr>
      <w:r>
        <w:rPr>
          <w:rFonts w:ascii="Calibri" w:cs="Calibri" w:eastAsia="Calibri" w:hAnsi="Calibri"/>
          <w:color w:val="222222"/>
          <w:sz w:val="22"/>
          <w:szCs w:val="22"/>
        </w:rPr>
        <w:t xml:space="preserve">GRN: recorded in Oracle upon physical receipt, confirming quantity, quality and condition.</w:t>
      </w:r>
    </w:p>
    <w:p>
      <w:pPr>
        <w:pStyle w:val="ListParagraph"/>
        <w:numPr>
          <w:ilvl w:val="0"/>
          <w:numId w:val="2"/>
        </w:numPr>
        <w:spacing w:after="40" w:before="40"/>
      </w:pPr>
      <w:r>
        <w:rPr>
          <w:rFonts w:ascii="Calibri" w:cs="Calibri" w:eastAsia="Calibri" w:hAnsi="Calibri"/>
          <w:color w:val="222222"/>
          <w:sz w:val="22"/>
          <w:szCs w:val="22"/>
        </w:rPr>
        <w:t xml:space="preserve">Invoice: received, matched against PO line items and GRN quantities.</w:t>
      </w:r>
    </w:p>
    <w:p>
      <w:pPr>
        <w:spacing w:after="60" w:before="60" w:line="290"/>
        <w:jc w:val="both"/>
      </w:pPr>
      <w:r>
        <w:rPr>
          <w:rFonts w:ascii="Calibri" w:cs="Calibri" w:eastAsia="Calibri" w:hAnsi="Calibri"/>
          <w:color w:val="222222"/>
          <w:sz w:val="22"/>
          <w:szCs w:val="22"/>
        </w:rPr>
        <w:t xml:space="preserve">Any mismatch shall hold payment until investigated and resolved. Tolerances (e.g. ±2% value, ±5% quantity) are defined in the Oracle configuration.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5. Split-PO Prohibition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ANTI-CIRCUMVENTION RULE</w:t>
            </w:r>
          </w:p>
          <w:p>
            <w:pPr>
              <w:spacing w:before="80"/>
            </w:pPr>
            <w:r>
              <w:rPr>
                <w:rFonts w:ascii="Calibri" w:cs="Calibri" w:eastAsia="Calibri" w:hAnsi="Calibri"/>
                <w:color w:val="333333"/>
                <w:sz w:val="20"/>
                <w:szCs w:val="20"/>
              </w:rPr>
              <w:t xml:space="preserve">Splitting a procurement requirement into multiple POs to bring individual values below a Delegation of Authority threshold is strictly prohibited. This is treated as a disciplinary matter and, where a supplier is complicit, grounds for ASL removal.</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Detailed Procedure</w:t>
      </w:r>
    </w:p>
    <w:p>
      <w:pPr>
        <w:pStyle w:val="ListParagraph"/>
        <w:numPr>
          <w:ilvl w:val="0"/>
          <w:numId w:val="2"/>
        </w:numPr>
        <w:spacing w:after="40" w:before="40"/>
      </w:pPr>
      <w:r>
        <w:rPr>
          <w:rFonts w:ascii="Calibri" w:cs="Calibri" w:eastAsia="Calibri" w:hAnsi="Calibri"/>
          <w:color w:val="222222"/>
          <w:sz w:val="22"/>
          <w:szCs w:val="22"/>
        </w:rPr>
        <w:t xml:space="preserve">Upon award, BU Procurement raises the PO in Oracle (T&amp;Cs are auto-applied by the system).</w:t>
      </w:r>
    </w:p>
    <w:p>
      <w:pPr>
        <w:pStyle w:val="ListParagraph"/>
        <w:numPr>
          <w:ilvl w:val="0"/>
          <w:numId w:val="2"/>
        </w:numPr>
        <w:spacing w:after="40" w:before="40"/>
      </w:pPr>
      <w:r>
        <w:rPr>
          <w:rFonts w:ascii="Calibri" w:cs="Calibri" w:eastAsia="Calibri" w:hAnsi="Calibri"/>
          <w:color w:val="222222"/>
          <w:sz w:val="22"/>
          <w:szCs w:val="22"/>
        </w:rPr>
        <w:t xml:space="preserve">The PO is routed for approval per DOA within Oracle.</w:t>
      </w:r>
    </w:p>
    <w:p>
      <w:pPr>
        <w:pStyle w:val="ListParagraph"/>
        <w:numPr>
          <w:ilvl w:val="0"/>
          <w:numId w:val="2"/>
        </w:numPr>
        <w:spacing w:after="40" w:before="40"/>
      </w:pPr>
      <w:r>
        <w:rPr>
          <w:rFonts w:ascii="Calibri" w:cs="Calibri" w:eastAsia="Calibri" w:hAnsi="Calibri"/>
          <w:color w:val="222222"/>
          <w:sz w:val="22"/>
          <w:szCs w:val="22"/>
        </w:rPr>
        <w:t xml:space="preserve">Approved POs are issued to the supplier.</w:t>
      </w:r>
    </w:p>
    <w:p>
      <w:pPr>
        <w:pStyle w:val="ListParagraph"/>
        <w:numPr>
          <w:ilvl w:val="0"/>
          <w:numId w:val="2"/>
        </w:numPr>
        <w:spacing w:after="40" w:before="40"/>
      </w:pPr>
      <w:r>
        <w:rPr>
          <w:rFonts w:ascii="Calibri" w:cs="Calibri" w:eastAsia="Calibri" w:hAnsi="Calibri"/>
          <w:color w:val="222222"/>
          <w:sz w:val="22"/>
          <w:szCs w:val="22"/>
        </w:rPr>
        <w:t xml:space="preserve">On delivery, the Receiver records the GRN in Oracle.</w:t>
      </w:r>
    </w:p>
    <w:p>
      <w:pPr>
        <w:pStyle w:val="ListParagraph"/>
        <w:numPr>
          <w:ilvl w:val="0"/>
          <w:numId w:val="2"/>
        </w:numPr>
        <w:spacing w:after="40" w:before="40"/>
      </w:pPr>
      <w:r>
        <w:rPr>
          <w:rFonts w:ascii="Calibri" w:cs="Calibri" w:eastAsia="Calibri" w:hAnsi="Calibri"/>
          <w:color w:val="222222"/>
          <w:sz w:val="22"/>
          <w:szCs w:val="22"/>
        </w:rPr>
        <w:t xml:space="preserve">Supplier submits the invoice; Oracle performs the three-way match.</w:t>
      </w:r>
    </w:p>
    <w:p>
      <w:pPr>
        <w:pStyle w:val="ListParagraph"/>
        <w:numPr>
          <w:ilvl w:val="0"/>
          <w:numId w:val="2"/>
        </w:numPr>
        <w:spacing w:after="40" w:before="40"/>
      </w:pPr>
      <w:r>
        <w:rPr>
          <w:rFonts w:ascii="Calibri" w:cs="Calibri" w:eastAsia="Calibri" w:hAnsi="Calibri"/>
          <w:color w:val="222222"/>
          <w:sz w:val="22"/>
          <w:szCs w:val="22"/>
        </w:rPr>
        <w:t xml:space="preserve">Any amendments require a formal PO change order through the same approval chain.</w:t>
      </w:r>
    </w:p>
    <w:p>
      <w:pPr>
        <w:pStyle w:val="Heading1"/>
        <w:pBdr>
          <w:bottom w:val="single" w:color="1F3864" w:sz="18" w:space="4"/>
        </w:pBdr>
        <w:spacing w:after="160" w:before="320"/>
      </w:pPr>
      <w:r>
        <w:rPr>
          <w:rFonts w:ascii="Calibri" w:cs="Calibri" w:eastAsia="Calibri" w:hAnsi="Calibri"/>
          <w:b/>
          <w:bCs/>
          <w:color w:val="1F3864"/>
          <w:sz w:val="30"/>
          <w:szCs w:val="30"/>
        </w:rPr>
        <w:t xml:space="preserve">7. Flowchart</w:t>
      </w:r>
    </w:p>
    <w:p>
      <w:pPr>
        <w:spacing w:after="80" w:before="200"/>
        <w:jc w:val="center"/>
      </w:pPr>
      <w:r>
        <w:drawing>
          <wp:inline distT="0" distB="0" distL="0" distR="0">
            <wp:extent cx="4953000" cy="6477000"/>
            <wp:effectExtent t="0" r="0" b="0" l="0"/>
            <wp:docPr id="1" name="Figure 7: Purchase Order Workflow" descr="Figure 7: Purchase Order Workflow" title="Figure 7: Purchase Order Work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4953000" cy="6477000"/>
                    </a:xfrm>
                    <a:prstGeom prst="rect">
                      <a:avLst/>
                    </a:prstGeom>
                  </pic:spPr>
                </pic:pic>
              </a:graphicData>
            </a:graphic>
          </wp:inline>
        </w:drawing>
      </w:r>
    </w:p>
    <w:p>
      <w:pPr>
        <w:spacing w:after="200"/>
        <w:jc w:val="center"/>
      </w:pPr>
      <w:r>
        <w:rPr>
          <w:rFonts w:ascii="Calibri" w:cs="Calibri" w:eastAsia="Calibri" w:hAnsi="Calibri"/>
          <w:i/>
          <w:iCs/>
          <w:color w:val="6B7280"/>
          <w:sz w:val="18"/>
          <w:szCs w:val="18"/>
        </w:rPr>
        <w:t xml:space="preserve">Figure 7: Purchase Order Workflow</w:t>
      </w:r>
    </w:p>
    <w:p>
      <w:pPr>
        <w:pStyle w:val="Heading1"/>
        <w:pBdr>
          <w:bottom w:val="single" w:color="1F3864" w:sz="18" w:space="4"/>
        </w:pBdr>
        <w:spacing w:after="160" w:before="320"/>
      </w:pPr>
      <w:r>
        <w:rPr>
          <w:rFonts w:ascii="Calibri" w:cs="Calibri" w:eastAsia="Calibri" w:hAnsi="Calibri"/>
          <w:b/>
          <w:bCs/>
          <w:color w:val="1F3864"/>
          <w:sz w:val="30"/>
          <w:szCs w:val="30"/>
        </w:rPr>
        <w:t xml:space="preserve">8.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GRN</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Goods Received Note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Local 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OTIF</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In-Full</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Requisition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T&amp;Cs</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Terms and Conditions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P-POL-005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Purchase Orders</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867ab45fb84dc7ec383b3d9af0f1aeff9bca4e8a.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Purchase Orders - P-POL-005</dc:title>
  <dc:creator>Bukhatir Group - Group Supply Chain</dc:creator>
  <cp:lastModifiedBy>Un-named</cp:lastModifiedBy>
  <cp:revision>1</cp:revision>
  <dcterms:created xsi:type="dcterms:W3CDTF">2026-04-13T04:45:55.605Z</dcterms:created>
  <dcterms:modified xsi:type="dcterms:W3CDTF">2026-04-13T04:45:55.605Z</dcterms:modified>
</cp:coreProperties>
</file>

<file path=docProps/custom.xml><?xml version="1.0" encoding="utf-8"?>
<Properties xmlns="http://schemas.openxmlformats.org/officeDocument/2006/custom-properties" xmlns:vt="http://schemas.openxmlformats.org/officeDocument/2006/docPropsVTypes"/>
</file>