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P-POL-004</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Letter of Intent</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Letter of Intent</w:t>
      </w:r>
    </w:p>
    <w:p>
      <w:pPr>
        <w:spacing w:after="400"/>
        <w:jc w:val="center"/>
      </w:pPr>
      <w:r>
        <w:rPr>
          <w:rFonts w:ascii="Calibri" w:cs="Calibri" w:eastAsia="Calibri" w:hAnsi="Calibri"/>
          <w:i/>
          <w:iCs/>
          <w:color w:val="6B7280"/>
          <w:sz w:val="24"/>
          <w:szCs w:val="24"/>
        </w:rPr>
        <w:t xml:space="preserve">Conditional Commitment &amp; Conversion</w:t>
      </w:r>
    </w:p>
    <w:p>
      <w:pPr>
        <w:spacing w:after="600" w:before="600"/>
      </w:pPr>
      <w:r>
        <w:t xml:space="preserve"/>
      </w:r>
    </w:p>
    <w:p>
      <w:pPr>
        <w:jc w:val="center"/>
      </w:pPr>
      <w:r>
        <w:rPr>
          <w:rFonts w:ascii="Calibri" w:cs="Calibri" w:eastAsia="Calibri" w:hAnsi="Calibri"/>
          <w:b/>
          <w:bCs/>
          <w:color w:val="1F3864"/>
          <w:sz w:val="28"/>
          <w:szCs w:val="28"/>
        </w:rPr>
        <w:t xml:space="preserve">Document No: P-POL-004</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Letter of Intent</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Letter of Intent</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SOP defines the process for issuing a Letter of Intent (LOI) to a successful supplier or sub-contractor when a full contract or Local Purchase Order (LPO) cannot be immediately executed. In the Bukhatir Group, orders are primarily confirmed via LPO in Oracle; however, this SOP remains available whenever an LOI is needed — typically for orders at or above AED 500,000 where contract formalisation takes time.</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LOIs issued by Bukhatir Group Business Units. LOIs are created and maintained by BU Procurement. This procedure is NOT required for orders below AED 500,000 — those are confirmed directly by LPO.</w:t>
      </w:r>
    </w:p>
    <w:p>
      <w:pPr>
        <w:pStyle w:val="Heading1"/>
        <w:pBdr>
          <w:bottom w:val="single" w:color="1F3864" w:sz="18" w:space="4"/>
        </w:pBdr>
        <w:spacing w:after="160" w:before="320"/>
      </w:pPr>
      <w:r>
        <w:rPr>
          <w:rFonts w:ascii="Calibri" w:cs="Calibri" w:eastAsia="Calibri" w:hAnsi="Calibri"/>
          <w:b/>
          <w:bCs/>
          <w:color w:val="1F3864"/>
          <w:sz w:val="30"/>
          <w:szCs w:val="30"/>
        </w:rPr>
        <w:t xml:space="preserve">3. Legal Status — Conditional Commitment, NOT a Contract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LEGAL CLARIFICATION</w:t>
            </w:r>
          </w:p>
          <w:p>
            <w:pPr>
              <w:spacing w:before="80"/>
            </w:pPr>
            <w:r>
              <w:rPr>
                <w:rFonts w:ascii="Calibri" w:cs="Calibri" w:eastAsia="Calibri" w:hAnsi="Calibri"/>
                <w:color w:val="333333"/>
                <w:sz w:val="20"/>
                <w:szCs w:val="20"/>
              </w:rPr>
              <w:t xml:space="preserve">An LOI is a conditional commitment to enter into a contract subject to the fulfilment of specified conditions precedent. An LOI is NOT itself a binding contract for full scope. Every LOI SHALL state a maximum liability cap and a clear expiry date.</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Standard LOI Template</w:t>
      </w:r>
    </w:p>
    <w:p>
      <w:pPr>
        <w:spacing w:after="60" w:before="60" w:line="290"/>
        <w:jc w:val="both"/>
      </w:pPr>
      <w:r>
        <w:rPr>
          <w:rFonts w:ascii="Calibri" w:cs="Calibri" w:eastAsia="Calibri" w:hAnsi="Calibri"/>
          <w:color w:val="222222"/>
          <w:sz w:val="22"/>
          <w:szCs w:val="22"/>
        </w:rPr>
        <w:t xml:space="preserve">A single Group LOI template is maintained by Legal. Deviations require Legal review. BU Procurement shall use the template and include the following mandatory clauses:</w:t>
      </w:r>
    </w:p>
    <w:p>
      <w:pPr>
        <w:pStyle w:val="ListParagraph"/>
        <w:numPr>
          <w:ilvl w:val="0"/>
          <w:numId w:val="2"/>
        </w:numPr>
        <w:spacing w:after="40" w:before="40"/>
      </w:pPr>
      <w:r>
        <w:rPr>
          <w:rFonts w:ascii="Calibri" w:cs="Calibri" w:eastAsia="Calibri" w:hAnsi="Calibri"/>
          <w:color w:val="222222"/>
          <w:sz w:val="22"/>
          <w:szCs w:val="22"/>
        </w:rPr>
        <w:t xml:space="preserve">Scope, price and commercial terms.</w:t>
      </w:r>
    </w:p>
    <w:p>
      <w:pPr>
        <w:pStyle w:val="ListParagraph"/>
        <w:numPr>
          <w:ilvl w:val="0"/>
          <w:numId w:val="2"/>
        </w:numPr>
        <w:spacing w:after="40" w:before="40"/>
      </w:pPr>
      <w:r>
        <w:rPr>
          <w:rFonts w:ascii="Calibri" w:cs="Calibri" w:eastAsia="Calibri" w:hAnsi="Calibri"/>
          <w:color w:val="222222"/>
          <w:sz w:val="22"/>
          <w:szCs w:val="22"/>
        </w:rPr>
        <w:t xml:space="preserve">Term and expiry date of the LOI itself (not to exceed 30 days without extension).</w:t>
      </w:r>
    </w:p>
    <w:p>
      <w:pPr>
        <w:pStyle w:val="ListParagraph"/>
        <w:numPr>
          <w:ilvl w:val="0"/>
          <w:numId w:val="2"/>
        </w:numPr>
        <w:spacing w:after="40" w:before="40"/>
      </w:pPr>
      <w:r>
        <w:rPr>
          <w:rFonts w:ascii="Calibri" w:cs="Calibri" w:eastAsia="Calibri" w:hAnsi="Calibri"/>
          <w:color w:val="222222"/>
          <w:sz w:val="22"/>
          <w:szCs w:val="22"/>
        </w:rPr>
        <w:t xml:space="preserve">Conditions precedent — bank guarantee, insurance certificates, HSE documentation, ADNOC / JAFZA / free-zone permits as applicable.</w:t>
      </w:r>
    </w:p>
    <w:p>
      <w:pPr>
        <w:pStyle w:val="ListParagraph"/>
        <w:numPr>
          <w:ilvl w:val="0"/>
          <w:numId w:val="2"/>
        </w:numPr>
        <w:spacing w:after="40" w:before="40"/>
      </w:pPr>
      <w:r>
        <w:rPr>
          <w:rFonts w:ascii="Calibri" w:cs="Calibri" w:eastAsia="Calibri" w:hAnsi="Calibri"/>
          <w:color w:val="222222"/>
          <w:sz w:val="22"/>
          <w:szCs w:val="22"/>
        </w:rPr>
        <w:t xml:space="preserve">Maximum liability cap — the supplier's recoverable amount under the LOI is limited to a stated ceiling.</w:t>
      </w:r>
    </w:p>
    <w:p>
      <w:pPr>
        <w:pStyle w:val="ListParagraph"/>
        <w:numPr>
          <w:ilvl w:val="0"/>
          <w:numId w:val="2"/>
        </w:numPr>
        <w:spacing w:after="40" w:before="40"/>
      </w:pPr>
      <w:r>
        <w:rPr>
          <w:rFonts w:ascii="Calibri" w:cs="Calibri" w:eastAsia="Calibri" w:hAnsi="Calibri"/>
          <w:color w:val="222222"/>
          <w:sz w:val="22"/>
          <w:szCs w:val="22"/>
        </w:rPr>
        <w:t xml:space="preserve">Termination on non-fulfilment of conditions precedent.</w:t>
      </w:r>
    </w:p>
    <w:p>
      <w:pPr>
        <w:pStyle w:val="ListParagraph"/>
        <w:numPr>
          <w:ilvl w:val="0"/>
          <w:numId w:val="2"/>
        </w:numPr>
        <w:spacing w:after="40" w:before="40"/>
      </w:pPr>
      <w:r>
        <w:rPr>
          <w:rFonts w:ascii="Calibri" w:cs="Calibri" w:eastAsia="Calibri" w:hAnsi="Calibri"/>
          <w:color w:val="222222"/>
          <w:sz w:val="22"/>
          <w:szCs w:val="22"/>
        </w:rPr>
        <w:t xml:space="preserve">Confidentiality and anti-bribery warranties.</w:t>
      </w:r>
    </w:p>
    <w:p>
      <w:pPr>
        <w:pStyle w:val="ListParagraph"/>
        <w:numPr>
          <w:ilvl w:val="0"/>
          <w:numId w:val="2"/>
        </w:numPr>
        <w:spacing w:after="40" w:before="40"/>
      </w:pPr>
      <w:r>
        <w:rPr>
          <w:rFonts w:ascii="Calibri" w:cs="Calibri" w:eastAsia="Calibri" w:hAnsi="Calibri"/>
          <w:color w:val="222222"/>
          <w:sz w:val="22"/>
          <w:szCs w:val="22"/>
        </w:rPr>
        <w:t xml:space="preserve">Governing law (UAE) and jurisdiction (DIFC or onshore UAE courts, as specified).</w:t>
      </w:r>
    </w:p>
    <w:p>
      <w:pPr>
        <w:pStyle w:val="Heading1"/>
        <w:pBdr>
          <w:bottom w:val="single" w:color="1F3864" w:sz="18" w:space="4"/>
        </w:pBdr>
        <w:spacing w:after="160" w:before="320"/>
      </w:pPr>
      <w:r>
        <w:rPr>
          <w:rFonts w:ascii="Calibri" w:cs="Calibri" w:eastAsia="Calibri" w:hAnsi="Calibri"/>
          <w:b/>
          <w:bCs/>
          <w:color w:val="1F3864"/>
          <w:sz w:val="30"/>
          <w:szCs w:val="30"/>
        </w:rPr>
        <w:t xml:space="preserve">5. LOI Records</w:t>
      </w:r>
    </w:p>
    <w:p>
      <w:pPr>
        <w:spacing w:after="60" w:before="60" w:line="290"/>
        <w:jc w:val="both"/>
      </w:pPr>
      <w:r>
        <w:rPr>
          <w:rFonts w:ascii="Calibri" w:cs="Calibri" w:eastAsia="Calibri" w:hAnsi="Calibri"/>
          <w:color w:val="222222"/>
          <w:sz w:val="22"/>
          <w:szCs w:val="22"/>
        </w:rPr>
        <w:t xml:space="preserve">BU Procurement shall maintain records of all LOIs issued by their Business Unit, including:</w:t>
      </w:r>
    </w:p>
    <w:p>
      <w:pPr>
        <w:pStyle w:val="ListParagraph"/>
        <w:numPr>
          <w:ilvl w:val="0"/>
          <w:numId w:val="2"/>
        </w:numPr>
        <w:spacing w:after="40" w:before="40"/>
      </w:pPr>
      <w:r>
        <w:rPr>
          <w:rFonts w:ascii="Calibri" w:cs="Calibri" w:eastAsia="Calibri" w:hAnsi="Calibri"/>
          <w:color w:val="222222"/>
          <w:sz w:val="22"/>
          <w:szCs w:val="22"/>
        </w:rPr>
        <w:t xml:space="preserve">LOI reference number, supplier, scope and value.</w:t>
      </w:r>
    </w:p>
    <w:p>
      <w:pPr>
        <w:pStyle w:val="ListParagraph"/>
        <w:numPr>
          <w:ilvl w:val="0"/>
          <w:numId w:val="2"/>
        </w:numPr>
        <w:spacing w:after="40" w:before="40"/>
      </w:pPr>
      <w:r>
        <w:rPr>
          <w:rFonts w:ascii="Calibri" w:cs="Calibri" w:eastAsia="Calibri" w:hAnsi="Calibri"/>
          <w:color w:val="222222"/>
          <w:sz w:val="22"/>
          <w:szCs w:val="22"/>
        </w:rPr>
        <w:t xml:space="preserve">Issue date, expiry date and status.</w:t>
      </w:r>
    </w:p>
    <w:p>
      <w:pPr>
        <w:pStyle w:val="ListParagraph"/>
        <w:numPr>
          <w:ilvl w:val="0"/>
          <w:numId w:val="2"/>
        </w:numPr>
        <w:spacing w:after="40" w:before="40"/>
      </w:pPr>
      <w:r>
        <w:rPr>
          <w:rFonts w:ascii="Calibri" w:cs="Calibri" w:eastAsia="Calibri" w:hAnsi="Calibri"/>
          <w:color w:val="222222"/>
          <w:sz w:val="22"/>
          <w:szCs w:val="22"/>
        </w:rPr>
        <w:t xml:space="preserve">Conditions precedent and their fulfilment status.</w:t>
      </w:r>
    </w:p>
    <w:p>
      <w:pPr>
        <w:pStyle w:val="ListParagraph"/>
        <w:numPr>
          <w:ilvl w:val="0"/>
          <w:numId w:val="2"/>
        </w:numPr>
        <w:spacing w:after="40" w:before="40"/>
      </w:pPr>
      <w:r>
        <w:rPr>
          <w:rFonts w:ascii="Calibri" w:cs="Calibri" w:eastAsia="Calibri" w:hAnsi="Calibri"/>
          <w:color w:val="222222"/>
          <w:sz w:val="22"/>
          <w:szCs w:val="22"/>
        </w:rPr>
        <w:t xml:space="preserve">Converted contract / PO reference (once executed).</w:t>
      </w:r>
    </w:p>
    <w:p>
      <w:pPr>
        <w:pStyle w:val="Heading1"/>
        <w:pBdr>
          <w:bottom w:val="single" w:color="1F3864" w:sz="18" w:space="4"/>
        </w:pBdr>
        <w:spacing w:after="160" w:before="320"/>
      </w:pPr>
      <w:r>
        <w:rPr>
          <w:rFonts w:ascii="Calibri" w:cs="Calibri" w:eastAsia="Calibri" w:hAnsi="Calibri"/>
          <w:b/>
          <w:bCs/>
          <w:color w:val="1F3864"/>
          <w:sz w:val="30"/>
          <w:szCs w:val="30"/>
        </w:rPr>
        <w:t xml:space="preserve">6. Legal Review Requirement</w:t>
      </w:r>
    </w:p>
    <w:p>
      <w:pPr>
        <w:spacing w:after="60" w:before="60" w:line="290"/>
        <w:jc w:val="both"/>
      </w:pPr>
      <w:r>
        <w:rPr>
          <w:rFonts w:ascii="Calibri" w:cs="Calibri" w:eastAsia="Calibri" w:hAnsi="Calibri"/>
          <w:color w:val="222222"/>
          <w:sz w:val="22"/>
          <w:szCs w:val="22"/>
        </w:rPr>
        <w:t xml:space="preserve">Legal review is mandatory for any LOI where:</w:t>
      </w:r>
    </w:p>
    <w:p>
      <w:pPr>
        <w:pStyle w:val="ListParagraph"/>
        <w:numPr>
          <w:ilvl w:val="0"/>
          <w:numId w:val="2"/>
        </w:numPr>
        <w:spacing w:after="40" w:before="40"/>
      </w:pPr>
      <w:r>
        <w:rPr>
          <w:rFonts w:ascii="Calibri" w:cs="Calibri" w:eastAsia="Calibri" w:hAnsi="Calibri"/>
          <w:color w:val="222222"/>
          <w:sz w:val="22"/>
          <w:szCs w:val="22"/>
        </w:rPr>
        <w:t xml:space="preserve">Value exceeds the Group legal review threshold defined by the DOA.</w:t>
      </w:r>
    </w:p>
    <w:p>
      <w:pPr>
        <w:pStyle w:val="ListParagraph"/>
        <w:numPr>
          <w:ilvl w:val="0"/>
          <w:numId w:val="2"/>
        </w:numPr>
        <w:spacing w:after="40" w:before="40"/>
      </w:pPr>
      <w:r>
        <w:rPr>
          <w:rFonts w:ascii="Calibri" w:cs="Calibri" w:eastAsia="Calibri" w:hAnsi="Calibri"/>
          <w:color w:val="222222"/>
          <w:sz w:val="22"/>
          <w:szCs w:val="22"/>
        </w:rPr>
        <w:t xml:space="preserve">The content deviates from the standard template.</w:t>
      </w:r>
    </w:p>
    <w:p>
      <w:pPr>
        <w:pStyle w:val="ListParagraph"/>
        <w:numPr>
          <w:ilvl w:val="0"/>
          <w:numId w:val="2"/>
        </w:numPr>
        <w:spacing w:after="40" w:before="40"/>
      </w:pPr>
      <w:r>
        <w:rPr>
          <w:rFonts w:ascii="Calibri" w:cs="Calibri" w:eastAsia="Calibri" w:hAnsi="Calibri"/>
          <w:color w:val="222222"/>
          <w:sz w:val="22"/>
          <w:szCs w:val="22"/>
        </w:rPr>
        <w:t xml:space="preserve">The counterparty is a government, quasi-government or regulated entity.</w:t>
      </w:r>
    </w:p>
    <w:p>
      <w:pPr>
        <w:pStyle w:val="ListParagraph"/>
        <w:numPr>
          <w:ilvl w:val="0"/>
          <w:numId w:val="2"/>
        </w:numPr>
        <w:spacing w:after="40" w:before="40"/>
      </w:pPr>
      <w:r>
        <w:rPr>
          <w:rFonts w:ascii="Calibri" w:cs="Calibri" w:eastAsia="Calibri" w:hAnsi="Calibri"/>
          <w:color w:val="222222"/>
          <w:sz w:val="22"/>
          <w:szCs w:val="22"/>
        </w:rPr>
        <w:t xml:space="preserve">The scope involves cross-border delivery or novel risks.</w:t>
      </w:r>
    </w:p>
    <w:p>
      <w:pPr>
        <w:pStyle w:val="Heading1"/>
        <w:pBdr>
          <w:bottom w:val="single" w:color="1F3864" w:sz="18" w:space="4"/>
        </w:pBdr>
        <w:spacing w:after="160" w:before="320"/>
      </w:pPr>
      <w:r>
        <w:rPr>
          <w:rFonts w:ascii="Calibri" w:cs="Calibri" w:eastAsia="Calibri" w:hAnsi="Calibri"/>
          <w:b/>
          <w:bCs/>
          <w:color w:val="1F3864"/>
          <w:sz w:val="30"/>
          <w:szCs w:val="30"/>
        </w:rPr>
        <w:t xml:space="preserve">7. Conversion to Contract / LPO</w:t>
      </w:r>
    </w:p>
    <w:p>
      <w:pPr>
        <w:spacing w:after="60" w:before="60" w:line="290"/>
        <w:jc w:val="both"/>
      </w:pPr>
      <w:r>
        <w:rPr>
          <w:rFonts w:ascii="Calibri" w:cs="Calibri" w:eastAsia="Calibri" w:hAnsi="Calibri"/>
          <w:color w:val="222222"/>
          <w:sz w:val="22"/>
          <w:szCs w:val="22"/>
        </w:rPr>
        <w:t xml:space="preserve">Every LOI shall follow an explicit conversion process:</w:t>
      </w:r>
    </w:p>
    <w:p>
      <w:pPr>
        <w:pStyle w:val="ListParagraph"/>
        <w:numPr>
          <w:ilvl w:val="0"/>
          <w:numId w:val="3"/>
        </w:numPr>
        <w:spacing w:after="40" w:before="40"/>
      </w:pPr>
      <w:r>
        <w:rPr>
          <w:rFonts w:ascii="Calibri" w:cs="Calibri" w:eastAsia="Calibri" w:hAnsi="Calibri"/>
          <w:color w:val="222222"/>
          <w:sz w:val="22"/>
          <w:szCs w:val="22"/>
        </w:rPr>
        <w:t xml:space="preserve">Supplier fulfils all conditions precedent and submits evidence to BU Procurement.</w:t>
      </w:r>
    </w:p>
    <w:p>
      <w:pPr>
        <w:pStyle w:val="ListParagraph"/>
        <w:numPr>
          <w:ilvl w:val="0"/>
          <w:numId w:val="3"/>
        </w:numPr>
        <w:spacing w:after="40" w:before="40"/>
      </w:pPr>
      <w:r>
        <w:rPr>
          <w:rFonts w:ascii="Calibri" w:cs="Calibri" w:eastAsia="Calibri" w:hAnsi="Calibri"/>
          <w:color w:val="222222"/>
          <w:sz w:val="22"/>
          <w:szCs w:val="22"/>
        </w:rPr>
        <w:t xml:space="preserve">BU Procurement verifies CP fulfilment and updates the LOI records.</w:t>
      </w:r>
    </w:p>
    <w:p>
      <w:pPr>
        <w:pStyle w:val="ListParagraph"/>
        <w:numPr>
          <w:ilvl w:val="0"/>
          <w:numId w:val="3"/>
        </w:numPr>
        <w:spacing w:after="40" w:before="40"/>
      </w:pPr>
      <w:r>
        <w:rPr>
          <w:rFonts w:ascii="Calibri" w:cs="Calibri" w:eastAsia="Calibri" w:hAnsi="Calibri"/>
          <w:color w:val="222222"/>
          <w:sz w:val="22"/>
          <w:szCs w:val="22"/>
        </w:rPr>
        <w:t xml:space="preserve">Legal finalises the full contract or BU Procurement raises the LPO in Oracle.</w:t>
      </w:r>
    </w:p>
    <w:p>
      <w:pPr>
        <w:pStyle w:val="ListParagraph"/>
        <w:numPr>
          <w:ilvl w:val="0"/>
          <w:numId w:val="3"/>
        </w:numPr>
        <w:spacing w:after="40" w:before="40"/>
      </w:pPr>
      <w:r>
        <w:rPr>
          <w:rFonts w:ascii="Calibri" w:cs="Calibri" w:eastAsia="Calibri" w:hAnsi="Calibri"/>
          <w:color w:val="222222"/>
          <w:sz w:val="22"/>
          <w:szCs w:val="22"/>
        </w:rPr>
        <w:t xml:space="preserve">The full contract / LPO supersedes the LOI.</w:t>
      </w:r>
    </w:p>
    <w:p>
      <w:pPr>
        <w:pStyle w:val="Heading1"/>
        <w:pBdr>
          <w:bottom w:val="single" w:color="1F3864" w:sz="18" w:space="4"/>
        </w:pBdr>
        <w:spacing w:after="160" w:before="320"/>
      </w:pPr>
      <w:r>
        <w:rPr>
          <w:rFonts w:ascii="Calibri" w:cs="Calibri" w:eastAsia="Calibri" w:hAnsi="Calibri"/>
          <w:b/>
          <w:bCs/>
          <w:color w:val="1F3864"/>
          <w:sz w:val="30"/>
          <w:szCs w:val="30"/>
        </w:rPr>
        <w:t xml:space="preserve">8. Flowchart</w:t>
      </w:r>
    </w:p>
    <w:p>
      <w:pPr>
        <w:spacing w:after="80" w:before="200"/>
        <w:jc w:val="center"/>
      </w:pPr>
      <w:r>
        <w:drawing>
          <wp:inline distT="0" distB="0" distL="0" distR="0">
            <wp:extent cx="4953000" cy="6477000"/>
            <wp:effectExtent t="0" r="0" b="0" l="0"/>
            <wp:docPr id="1" name="Figure 6: Letter of Intent Workflow" descr="Figure 6: Letter of Intent Workflow" title="Figure 6: Letter of Intent Work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4953000" cy="6477000"/>
                    </a:xfrm>
                    <a:prstGeom prst="rect">
                      <a:avLst/>
                    </a:prstGeom>
                  </pic:spPr>
                </pic:pic>
              </a:graphicData>
            </a:graphic>
          </wp:inline>
        </w:drawing>
      </w:r>
    </w:p>
    <w:p>
      <w:pPr>
        <w:spacing w:after="200"/>
        <w:jc w:val="center"/>
      </w:pPr>
      <w:r>
        <w:rPr>
          <w:rFonts w:ascii="Calibri" w:cs="Calibri" w:eastAsia="Calibri" w:hAnsi="Calibri"/>
          <w:i/>
          <w:iCs/>
          <w:color w:val="6B7280"/>
          <w:sz w:val="18"/>
          <w:szCs w:val="18"/>
        </w:rPr>
        <w:t xml:space="preserve">Figure 6: Letter of Intent Workflow</w:t>
      </w:r>
    </w:p>
    <w:p>
      <w:pPr>
        <w:pStyle w:val="Heading1"/>
        <w:pBdr>
          <w:bottom w:val="single" w:color="1F3864" w:sz="18" w:space="4"/>
        </w:pBdr>
        <w:spacing w:after="160" w:before="320"/>
      </w:pPr>
      <w:r>
        <w:rPr>
          <w:rFonts w:ascii="Calibri" w:cs="Calibri" w:eastAsia="Calibri" w:hAnsi="Calibri"/>
          <w:b/>
          <w:bCs/>
          <w:color w:val="1F3864"/>
          <w:sz w:val="30"/>
          <w:szCs w:val="30"/>
        </w:rPr>
        <w:t xml:space="preserve">9.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Letter of Intent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LPO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Local Purchase Order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Request for Quotation</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P-POL-004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Letter of Intent</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c53dbb77257c5e4c3668582abe3be1256b8c1977.png"/><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 of Intent - P-POL-004</dc:title>
  <dc:creator>Bukhatir Group - Group Supply Chain</dc:creator>
  <cp:lastModifiedBy>Un-named</cp:lastModifiedBy>
  <cp:revision>1</cp:revision>
  <dcterms:created xsi:type="dcterms:W3CDTF">2026-04-13T04:45:55.583Z</dcterms:created>
  <dcterms:modified xsi:type="dcterms:W3CDTF">2026-04-13T04:45:55.583Z</dcterms:modified>
</cp:coreProperties>
</file>

<file path=docProps/custom.xml><?xml version="1.0" encoding="utf-8"?>
<Properties xmlns="http://schemas.openxmlformats.org/officeDocument/2006/custom-properties" xmlns:vt="http://schemas.openxmlformats.org/officeDocument/2006/docPropsVTypes"/>
</file>