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P-POL-003</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Inviting &amp; Assessing Quotations</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Inviting &amp; Assessing Quotations</w:t>
      </w:r>
    </w:p>
    <w:p>
      <w:pPr>
        <w:spacing w:after="400"/>
        <w:jc w:val="center"/>
      </w:pPr>
      <w:r>
        <w:rPr>
          <w:rFonts w:ascii="Calibri" w:cs="Calibri" w:eastAsia="Calibri" w:hAnsi="Calibri"/>
          <w:i/>
          <w:iCs/>
          <w:color w:val="6B7280"/>
          <w:sz w:val="24"/>
          <w:szCs w:val="24"/>
        </w:rPr>
        <w:t xml:space="preserve">RFQ, Best-Value Evaluation &amp; QCS</w:t>
      </w:r>
    </w:p>
    <w:p>
      <w:pPr>
        <w:spacing w:after="600" w:before="600"/>
      </w:pPr>
      <w:r>
        <w:t xml:space="preserve"/>
      </w:r>
    </w:p>
    <w:p>
      <w:pPr>
        <w:jc w:val="center"/>
      </w:pPr>
      <w:r>
        <w:rPr>
          <w:rFonts w:ascii="Calibri" w:cs="Calibri" w:eastAsia="Calibri" w:hAnsi="Calibri"/>
          <w:b/>
          <w:bCs/>
          <w:color w:val="1F3864"/>
          <w:sz w:val="28"/>
          <w:szCs w:val="28"/>
        </w:rPr>
        <w:t xml:space="preserve">Document No: P-POL-003</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Inviting &amp; Assessing Quotations</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Inviting &amp; Assessing Quotations</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SOP defines the process for inviting, evaluating and awarding quotations and proposals across Bukhatir Group. It establishes the selection methodology — lowest price with the best technical match and best overall value — and distinguishes between open RFQs and closed Bids (tenders).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Covers Request for Quotations (RFQ), Bids (closed tenders), Quotation Comparison Sheets (QCS), and Unbudgeted Requests for all Group entities. Purchase Requisitions are processed through Oracle; RFQs are issued and received by email.</w:t>
      </w:r>
    </w:p>
    <w:p>
      <w:pPr>
        <w:pStyle w:val="Heading1"/>
        <w:pBdr>
          <w:bottom w:val="single" w:color="1F3864" w:sz="18" w:space="4"/>
        </w:pBdr>
        <w:spacing w:after="160" w:before="320"/>
      </w:pPr>
      <w:r>
        <w:rPr>
          <w:rFonts w:ascii="Calibri" w:cs="Calibri" w:eastAsia="Calibri" w:hAnsi="Calibri"/>
          <w:b/>
          <w:bCs/>
          <w:color w:val="1F3864"/>
          <w:sz w:val="30"/>
          <w:szCs w:val="30"/>
        </w:rPr>
        <w:t xml:space="preserve">3. RFQ vs. Bid — Key Distinction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OPEN RFQ VS. CLOSED BID</w:t>
            </w:r>
          </w:p>
          <w:p>
            <w:pPr>
              <w:spacing w:before="80"/>
            </w:pPr>
            <w:r>
              <w:rPr>
                <w:rFonts w:ascii="Calibri" w:cs="Calibri" w:eastAsia="Calibri" w:hAnsi="Calibri"/>
                <w:color w:val="333333"/>
                <w:sz w:val="20"/>
                <w:szCs w:val="20"/>
              </w:rPr>
              <w:t xml:space="preserve">An RFQ is an open solicitation sent by email to suppliers on the ASL; responses are received by email. A Bid is a formal closed tender used for high-value or complex procurements; bid documents are issued and received in sealed form with strict confidentiality. Both require a minimum of three (3) quotes.</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580"/>
        <w:gridCol w:w="358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
            </w:r>
          </w:p>
        </w:tc>
        <w:tc>
          <w:tcPr>
            <w:tcW w:type="dxa" w:w="358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RFQ (Open)</w:t>
            </w:r>
          </w:p>
        </w:tc>
        <w:tc>
          <w:tcPr>
            <w:tcW w:type="dxa" w:w="358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Bid (Closed Tender)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Issuance</w:t>
            </w:r>
          </w:p>
        </w:tc>
        <w:tc>
          <w:tcPr>
            <w:tcW w:type="dxa" w:w="35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Email to ASL suppliers</w:t>
            </w:r>
          </w:p>
        </w:tc>
        <w:tc>
          <w:tcPr>
            <w:tcW w:type="dxa" w:w="35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Formal tender pack — sealed</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Receipt</w:t>
            </w:r>
          </w:p>
        </w:tc>
        <w:tc>
          <w:tcPr>
            <w:tcW w:type="dxa" w:w="35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Email response</w:t>
            </w:r>
          </w:p>
        </w:tc>
        <w:tc>
          <w:tcPr>
            <w:tcW w:type="dxa" w:w="35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Sealed envelope / secure portal</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Evaluation</w:t>
            </w:r>
          </w:p>
        </w:tc>
        <w:tc>
          <w:tcPr>
            <w:tcW w:type="dxa" w:w="35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 Procurement — QCS</w:t>
            </w:r>
          </w:p>
        </w:tc>
        <w:tc>
          <w:tcPr>
            <w:tcW w:type="dxa" w:w="35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Tender Committee — QCS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Typical Use</w:t>
            </w:r>
          </w:p>
        </w:tc>
        <w:tc>
          <w:tcPr>
            <w:tcW w:type="dxa" w:w="35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Routine goods &amp; services</w:t>
            </w:r>
          </w:p>
        </w:tc>
        <w:tc>
          <w:tcPr>
            <w:tcW w:type="dxa" w:w="35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Complex, high-value, works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Minimum Quotes</w:t>
            </w:r>
          </w:p>
        </w:tc>
        <w:tc>
          <w:tcPr>
            <w:tcW w:type="dxa" w:w="35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35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 (or as per tender rules)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Selection Philosophy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LOWEST PRICE + BEST TECHNICAL MATCH + BEST OVERALL VALUE</w:t>
            </w:r>
          </w:p>
          <w:p>
            <w:pPr>
              <w:spacing w:before="80"/>
            </w:pPr>
            <w:r>
              <w:rPr>
                <w:rFonts w:ascii="Calibri" w:cs="Calibri" w:eastAsia="Calibri" w:hAnsi="Calibri"/>
                <w:color w:val="333333"/>
                <w:sz w:val="20"/>
                <w:szCs w:val="20"/>
              </w:rPr>
              <w:t xml:space="preserve">The Group selects the supplier offering the lowest price that also meets or exceeds technical requirements, resulting in the best overall value. Selection is documented in the QCS with clear rationale.</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5. Weighted Scoring Model</w:t>
      </w:r>
    </w:p>
    <w:p>
      <w:pPr>
        <w:spacing w:after="60" w:before="60" w:line="290"/>
        <w:jc w:val="both"/>
      </w:pPr>
      <w:r>
        <w:rPr>
          <w:rFonts w:ascii="Calibri" w:cs="Calibri" w:eastAsia="Calibri" w:hAnsi="Calibri"/>
          <w:color w:val="222222"/>
          <w:sz w:val="22"/>
          <w:szCs w:val="22"/>
        </w:rPr>
        <w:t xml:space="preserve">Every competitive sourcing event shall apply the following weighted scoring model. The Buyer may adjust weights within the stated bands with documented justification.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400"/>
        <w:gridCol w:w="5360"/>
      </w:tblGrid>
      <w:tr>
        <w:trPr>
          <w:tblHeader/>
        </w:trPr>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Evaluation Dimension</w:t>
            </w:r>
          </w:p>
        </w:tc>
        <w:tc>
          <w:tcPr>
            <w:tcW w:type="dxa" w:w="1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Weight</w:t>
            </w:r>
          </w:p>
        </w:tc>
        <w:tc>
          <w:tcPr>
            <w:tcW w:type="dxa" w:w="5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What It Measures</w:t>
            </w:r>
          </w:p>
        </w:tc>
      </w:tr>
      <w:tr>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Commercial</w:t>
            </w:r>
          </w:p>
        </w:tc>
        <w:tc>
          <w:tcPr>
            <w:tcW w:type="dxa" w:w="1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60 – 70%</w:t>
            </w:r>
          </w:p>
        </w:tc>
        <w:tc>
          <w:tcPr>
            <w:tcW w:type="dxa" w:w="5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Price, payment terms, lifecycle cost, warranty, total cost</w:t>
            </w:r>
          </w:p>
        </w:tc>
      </w:tr>
      <w:tr>
        <w:tc>
          <w:tcPr>
            <w:tcW w:type="dxa" w:w="2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Technical</w:t>
            </w:r>
          </w:p>
        </w:tc>
        <w:tc>
          <w:tcPr>
            <w:tcW w:type="dxa" w:w="1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30 – 40%</w:t>
            </w:r>
          </w:p>
        </w:tc>
        <w:tc>
          <w:tcPr>
            <w:tcW w:type="dxa" w:w="5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Specification compliance, quality, delivery capability, references, HSE</w:t>
            </w:r>
          </w:p>
        </w:tc>
      </w:tr>
    </w:tbl>
    <w:p>
      <w:pPr>
        <w:spacing w:after="60" w:before="60" w:line="290"/>
        <w:jc w:val="both"/>
      </w:pPr>
      <w:r>
        <w:rPr>
          <w:rFonts w:ascii="Calibri" w:cs="Calibri" w:eastAsia="Calibri" w:hAnsi="Calibri"/>
          <w:color w:val="222222"/>
          <w:sz w:val="22"/>
          <w:szCs w:val="22"/>
        </w:rPr>
        <w:t xml:space="preserve">Total weight shall always equal 100%. Scores are captured in the QCS together with the evaluator's rationale.</w:t>
      </w:r>
    </w:p>
    <w:p>
      <w:pPr>
        <w:pStyle w:val="Heading1"/>
        <w:pBdr>
          <w:bottom w:val="single" w:color="1F3864" w:sz="18" w:space="4"/>
        </w:pBdr>
        <w:spacing w:after="160" w:before="320"/>
      </w:pPr>
      <w:r>
        <w:rPr>
          <w:rFonts w:ascii="Calibri" w:cs="Calibri" w:eastAsia="Calibri" w:hAnsi="Calibri"/>
          <w:b/>
          <w:bCs/>
          <w:color w:val="1F3864"/>
          <w:sz w:val="30"/>
          <w:szCs w:val="30"/>
        </w:rPr>
        <w:t xml:space="preserve">6. Minimum Three Quotes</w:t>
      </w:r>
    </w:p>
    <w:p>
      <w:pPr>
        <w:spacing w:after="60" w:before="60" w:line="290"/>
        <w:jc w:val="both"/>
      </w:pPr>
      <w:r>
        <w:rPr>
          <w:rFonts w:ascii="Calibri" w:cs="Calibri" w:eastAsia="Calibri" w:hAnsi="Calibri"/>
          <w:color w:val="222222"/>
          <w:sz w:val="22"/>
          <w:szCs w:val="22"/>
        </w:rPr>
        <w:t xml:space="preserve">A minimum of three (3) quotations is mandatory for every procurement. Where fewer than three responses are received, BU Procurement shall document the reason and seek GSC endorsement before proceeding.</w:t>
      </w:r>
    </w:p>
    <w:p>
      <w:pPr>
        <w:pStyle w:val="Heading1"/>
        <w:pBdr>
          <w:bottom w:val="single" w:color="1F3864" w:sz="18" w:space="4"/>
        </w:pBdr>
        <w:spacing w:after="160" w:before="320"/>
      </w:pPr>
      <w:r>
        <w:rPr>
          <w:rFonts w:ascii="Calibri" w:cs="Calibri" w:eastAsia="Calibri" w:hAnsi="Calibri"/>
          <w:b/>
          <w:bCs/>
          <w:color w:val="1F3864"/>
          <w:sz w:val="30"/>
          <w:szCs w:val="30"/>
        </w:rPr>
        <w:t xml:space="preserve">7. Sealed-Bid Integrity &amp; Segregation of Duties</w:t>
      </w:r>
    </w:p>
    <w:p>
      <w:pPr>
        <w:spacing w:after="60" w:before="60" w:line="290"/>
        <w:jc w:val="both"/>
      </w:pPr>
      <w:r>
        <w:rPr>
          <w:rFonts w:ascii="Calibri" w:cs="Calibri" w:eastAsia="Calibri" w:hAnsi="Calibri"/>
          <w:color w:val="222222"/>
          <w:sz w:val="22"/>
          <w:szCs w:val="22"/>
        </w:rPr>
        <w:t xml:space="preserve">For closed Bids (tenders):</w:t>
      </w:r>
    </w:p>
    <w:p>
      <w:pPr>
        <w:pStyle w:val="ListParagraph"/>
        <w:numPr>
          <w:ilvl w:val="0"/>
          <w:numId w:val="2"/>
        </w:numPr>
        <w:spacing w:after="40" w:before="40"/>
      </w:pPr>
      <w:r>
        <w:rPr>
          <w:rFonts w:ascii="Calibri" w:cs="Calibri" w:eastAsia="Calibri" w:hAnsi="Calibri"/>
          <w:color w:val="222222"/>
          <w:sz w:val="22"/>
          <w:szCs w:val="22"/>
        </w:rPr>
        <w:t xml:space="preserve">The Bid issuer shall not also be the QCS approver — a two-person minimum rule applies.</w:t>
      </w:r>
    </w:p>
    <w:p>
      <w:pPr>
        <w:pStyle w:val="ListParagraph"/>
        <w:numPr>
          <w:ilvl w:val="0"/>
          <w:numId w:val="2"/>
        </w:numPr>
        <w:spacing w:after="40" w:before="40"/>
      </w:pPr>
      <w:r>
        <w:rPr>
          <w:rFonts w:ascii="Calibri" w:cs="Calibri" w:eastAsia="Calibri" w:hAnsi="Calibri"/>
          <w:color w:val="222222"/>
          <w:sz w:val="22"/>
          <w:szCs w:val="22"/>
        </w:rPr>
        <w:t xml:space="preserve">Bids must be received sealed and opened only after the deadline by the Tender Committee.</w:t>
      </w:r>
    </w:p>
    <w:p>
      <w:pPr>
        <w:pStyle w:val="ListParagraph"/>
        <w:numPr>
          <w:ilvl w:val="0"/>
          <w:numId w:val="2"/>
        </w:numPr>
        <w:spacing w:after="40" w:before="40"/>
      </w:pPr>
      <w:r>
        <w:rPr>
          <w:rFonts w:ascii="Calibri" w:cs="Calibri" w:eastAsia="Calibri" w:hAnsi="Calibri"/>
          <w:color w:val="222222"/>
          <w:sz w:val="22"/>
          <w:szCs w:val="22"/>
        </w:rPr>
        <w:t xml:space="preserve">Technical and commercial envelopes are evaluated separately.</w:t>
      </w:r>
    </w:p>
    <w:p>
      <w:pPr>
        <w:pStyle w:val="Heading1"/>
        <w:pBdr>
          <w:bottom w:val="single" w:color="1F3864" w:sz="18" w:space="4"/>
        </w:pBdr>
        <w:spacing w:after="160" w:before="320"/>
      </w:pPr>
      <w:r>
        <w:rPr>
          <w:rFonts w:ascii="Calibri" w:cs="Calibri" w:eastAsia="Calibri" w:hAnsi="Calibri"/>
          <w:b/>
          <w:bCs/>
          <w:color w:val="1F3864"/>
          <w:sz w:val="30"/>
          <w:szCs w:val="30"/>
        </w:rPr>
        <w:t xml:space="preserve">8. Collusion &amp; Bid-Rigging Controls</w:t>
      </w:r>
    </w:p>
    <w:p>
      <w:pPr>
        <w:spacing w:after="60" w:before="60" w:line="290"/>
        <w:jc w:val="both"/>
      </w:pPr>
      <w:r>
        <w:rPr>
          <w:rFonts w:ascii="Calibri" w:cs="Calibri" w:eastAsia="Calibri" w:hAnsi="Calibri"/>
          <w:color w:val="222222"/>
          <w:sz w:val="22"/>
          <w:szCs w:val="22"/>
        </w:rPr>
        <w:t xml:space="preserve">The following red flags shall trigger mandatory escalation to Compliance and may result in disqualification and ASL removal:</w:t>
      </w:r>
    </w:p>
    <w:p>
      <w:pPr>
        <w:pStyle w:val="ListParagraph"/>
        <w:numPr>
          <w:ilvl w:val="0"/>
          <w:numId w:val="2"/>
        </w:numPr>
        <w:spacing w:after="40" w:before="40"/>
      </w:pPr>
      <w:r>
        <w:rPr>
          <w:rFonts w:ascii="Calibri" w:cs="Calibri" w:eastAsia="Calibri" w:hAnsi="Calibri"/>
          <w:color w:val="222222"/>
          <w:sz w:val="22"/>
          <w:szCs w:val="22"/>
        </w:rPr>
        <w:t xml:space="preserve">Identical or near-identical bids from ostensibly independent suppliers.</w:t>
      </w:r>
    </w:p>
    <w:p>
      <w:pPr>
        <w:pStyle w:val="ListParagraph"/>
        <w:numPr>
          <w:ilvl w:val="0"/>
          <w:numId w:val="2"/>
        </w:numPr>
        <w:spacing w:after="40" w:before="40"/>
      </w:pPr>
      <w:r>
        <w:rPr>
          <w:rFonts w:ascii="Calibri" w:cs="Calibri" w:eastAsia="Calibri" w:hAnsi="Calibri"/>
          <w:color w:val="222222"/>
          <w:sz w:val="22"/>
          <w:szCs w:val="22"/>
        </w:rPr>
        <w:t xml:space="preserve">Sequential or "cover" pricing patterns across multiple tenders.</w:t>
      </w:r>
    </w:p>
    <w:p>
      <w:pPr>
        <w:pStyle w:val="ListParagraph"/>
        <w:numPr>
          <w:ilvl w:val="0"/>
          <w:numId w:val="2"/>
        </w:numPr>
        <w:spacing w:after="40" w:before="40"/>
      </w:pPr>
      <w:r>
        <w:rPr>
          <w:rFonts w:ascii="Calibri" w:cs="Calibri" w:eastAsia="Calibri" w:hAnsi="Calibri"/>
          <w:color w:val="222222"/>
          <w:sz w:val="22"/>
          <w:szCs w:val="22"/>
        </w:rPr>
        <w:t xml:space="preserve">Bidders declining to quote on a rotational basis.</w:t>
      </w:r>
    </w:p>
    <w:p>
      <w:pPr>
        <w:pStyle w:val="ListParagraph"/>
        <w:numPr>
          <w:ilvl w:val="0"/>
          <w:numId w:val="2"/>
        </w:numPr>
        <w:spacing w:after="40" w:before="40"/>
      </w:pPr>
      <w:r>
        <w:rPr>
          <w:rFonts w:ascii="Calibri" w:cs="Calibri" w:eastAsia="Calibri" w:hAnsi="Calibri"/>
          <w:color w:val="222222"/>
          <w:sz w:val="22"/>
          <w:szCs w:val="22"/>
        </w:rPr>
        <w:t xml:space="preserve">Common ownership, addresses, email domains or bank details between bidders.</w:t>
      </w:r>
    </w:p>
    <w:p>
      <w:pPr>
        <w:pStyle w:val="ListParagraph"/>
        <w:numPr>
          <w:ilvl w:val="0"/>
          <w:numId w:val="2"/>
        </w:numPr>
        <w:spacing w:after="40" w:before="40"/>
      </w:pPr>
      <w:r>
        <w:rPr>
          <w:rFonts w:ascii="Calibri" w:cs="Calibri" w:eastAsia="Calibri" w:hAnsi="Calibri"/>
          <w:color w:val="222222"/>
          <w:sz w:val="22"/>
          <w:szCs w:val="22"/>
        </w:rPr>
        <w:t xml:space="preserve">Suppliers sharing bid documents or coordinating clarifications.</w:t>
      </w:r>
    </w:p>
    <w:p>
      <w:pPr>
        <w:pStyle w:val="ListParagraph"/>
        <w:numPr>
          <w:ilvl w:val="0"/>
          <w:numId w:val="2"/>
        </w:numPr>
        <w:spacing w:after="40" w:before="40"/>
      </w:pPr>
      <w:r>
        <w:rPr>
          <w:rFonts w:ascii="Calibri" w:cs="Calibri" w:eastAsia="Calibri" w:hAnsi="Calibri"/>
          <w:color w:val="222222"/>
          <w:sz w:val="22"/>
          <w:szCs w:val="22"/>
        </w:rPr>
        <w:t xml:space="preserve">Last-minute bid withdrawals that favour a specific bidder.</w:t>
      </w:r>
    </w:p>
    <w:p>
      <w:pPr>
        <w:pStyle w:val="Heading1"/>
        <w:pBdr>
          <w:bottom w:val="single" w:color="1F3864" w:sz="18" w:space="4"/>
        </w:pBdr>
        <w:spacing w:after="160" w:before="320"/>
      </w:pPr>
      <w:r>
        <w:rPr>
          <w:rFonts w:ascii="Calibri" w:cs="Calibri" w:eastAsia="Calibri" w:hAnsi="Calibri"/>
          <w:b/>
          <w:bCs/>
          <w:color w:val="1F3864"/>
          <w:sz w:val="30"/>
          <w:szCs w:val="30"/>
        </w:rPr>
        <w:t xml:space="preserve">9. Unbudgeted Requests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LINKHR SYSTEM</w:t>
            </w:r>
          </w:p>
          <w:p>
            <w:pPr>
              <w:spacing w:before="80"/>
            </w:pPr>
            <w:r>
              <w:rPr>
                <w:rFonts w:ascii="Calibri" w:cs="Calibri" w:eastAsia="Calibri" w:hAnsi="Calibri"/>
                <w:color w:val="333333"/>
                <w:sz w:val="20"/>
                <w:szCs w:val="20"/>
              </w:rPr>
              <w:t xml:space="preserve">Where the approved budget is less than the quotations received, BU Procurement shall raise an Unbudgeted Request on the LinkHR System (Bukhatir internal platform). The request follows the BU's internal approval chain before procurement may proceed.</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10. Detailed Procedure</w:t>
      </w:r>
    </w:p>
    <w:p>
      <w:pPr>
        <w:pStyle w:val="ListParagraph"/>
        <w:numPr>
          <w:ilvl w:val="0"/>
          <w:numId w:val="3"/>
        </w:numPr>
        <w:spacing w:after="40" w:before="40"/>
      </w:pPr>
      <w:r>
        <w:rPr>
          <w:rFonts w:ascii="Calibri" w:cs="Calibri" w:eastAsia="Calibri" w:hAnsi="Calibri"/>
          <w:color w:val="222222"/>
          <w:sz w:val="22"/>
          <w:szCs w:val="22"/>
        </w:rPr>
        <w:t xml:space="preserve">PR is raised and approved in Oracle by the Requestor / BU.</w:t>
      </w:r>
    </w:p>
    <w:p>
      <w:pPr>
        <w:pStyle w:val="ListParagraph"/>
        <w:numPr>
          <w:ilvl w:val="0"/>
          <w:numId w:val="3"/>
        </w:numPr>
        <w:spacing w:after="40" w:before="40"/>
      </w:pPr>
      <w:r>
        <w:rPr>
          <w:rFonts w:ascii="Calibri" w:cs="Calibri" w:eastAsia="Calibri" w:hAnsi="Calibri"/>
          <w:color w:val="222222"/>
          <w:sz w:val="22"/>
          <w:szCs w:val="22"/>
        </w:rPr>
        <w:t xml:space="preserve">BU Procurement prepares the RFQ / Bid pack: Letter of Compliance (LOC), Commercial Scope of Work (CSW) and Technical Scope of Work (TSW).</w:t>
      </w:r>
    </w:p>
    <w:p>
      <w:pPr>
        <w:pStyle w:val="ListParagraph"/>
        <w:numPr>
          <w:ilvl w:val="0"/>
          <w:numId w:val="3"/>
        </w:numPr>
        <w:spacing w:after="40" w:before="40"/>
      </w:pPr>
      <w:r>
        <w:rPr>
          <w:rFonts w:ascii="Calibri" w:cs="Calibri" w:eastAsia="Calibri" w:hAnsi="Calibri"/>
          <w:color w:val="222222"/>
          <w:sz w:val="22"/>
          <w:szCs w:val="22"/>
        </w:rPr>
        <w:t xml:space="preserve">RFQ is sent by email to a minimum of three (3) ASL suppliers; or, for closed tenders, a formal Bid pack is issued.</w:t>
      </w:r>
    </w:p>
    <w:p>
      <w:pPr>
        <w:pStyle w:val="ListParagraph"/>
        <w:numPr>
          <w:ilvl w:val="0"/>
          <w:numId w:val="3"/>
        </w:numPr>
        <w:spacing w:after="40" w:before="40"/>
      </w:pPr>
      <w:r>
        <w:rPr>
          <w:rFonts w:ascii="Calibri" w:cs="Calibri" w:eastAsia="Calibri" w:hAnsi="Calibri"/>
          <w:color w:val="222222"/>
          <w:sz w:val="22"/>
          <w:szCs w:val="22"/>
        </w:rPr>
        <w:t xml:space="preserve">Suppliers return the LOC, CSW response and TSW response within the stated deadline.</w:t>
      </w:r>
    </w:p>
    <w:p>
      <w:pPr>
        <w:pStyle w:val="ListParagraph"/>
        <w:numPr>
          <w:ilvl w:val="0"/>
          <w:numId w:val="3"/>
        </w:numPr>
        <w:spacing w:after="40" w:before="40"/>
      </w:pPr>
      <w:r>
        <w:rPr>
          <w:rFonts w:ascii="Calibri" w:cs="Calibri" w:eastAsia="Calibri" w:hAnsi="Calibri"/>
          <w:color w:val="222222"/>
          <w:sz w:val="22"/>
          <w:szCs w:val="22"/>
        </w:rPr>
        <w:t xml:space="preserve">Technical evaluation is performed by the BU technical reviewer(s).</w:t>
      </w:r>
    </w:p>
    <w:p>
      <w:pPr>
        <w:pStyle w:val="ListParagraph"/>
        <w:numPr>
          <w:ilvl w:val="0"/>
          <w:numId w:val="3"/>
        </w:numPr>
        <w:spacing w:after="40" w:before="40"/>
      </w:pPr>
      <w:r>
        <w:rPr>
          <w:rFonts w:ascii="Calibri" w:cs="Calibri" w:eastAsia="Calibri" w:hAnsi="Calibri"/>
          <w:color w:val="222222"/>
          <w:sz w:val="22"/>
          <w:szCs w:val="22"/>
        </w:rPr>
        <w:t xml:space="preserve">Commercial evaluation and negotiations are performed by BU Procurement.</w:t>
      </w:r>
    </w:p>
    <w:p>
      <w:pPr>
        <w:pStyle w:val="ListParagraph"/>
        <w:numPr>
          <w:ilvl w:val="0"/>
          <w:numId w:val="3"/>
        </w:numPr>
        <w:spacing w:after="40" w:before="40"/>
      </w:pPr>
      <w:r>
        <w:rPr>
          <w:rFonts w:ascii="Calibri" w:cs="Calibri" w:eastAsia="Calibri" w:hAnsi="Calibri"/>
          <w:color w:val="222222"/>
          <w:sz w:val="22"/>
          <w:szCs w:val="22"/>
        </w:rPr>
        <w:t xml:space="preserve">BU Procurement creates the QCS (Quotation Comparison Sheet), ranking suppliers by lowest price with best technical match.</w:t>
      </w:r>
    </w:p>
    <w:p>
      <w:pPr>
        <w:pStyle w:val="ListParagraph"/>
        <w:numPr>
          <w:ilvl w:val="0"/>
          <w:numId w:val="3"/>
        </w:numPr>
        <w:spacing w:after="40" w:before="40"/>
      </w:pPr>
      <w:r>
        <w:rPr>
          <w:rFonts w:ascii="Calibri" w:cs="Calibri" w:eastAsia="Calibri" w:hAnsi="Calibri"/>
          <w:color w:val="222222"/>
          <w:sz w:val="22"/>
          <w:szCs w:val="22"/>
        </w:rPr>
        <w:t xml:space="preserve">QCS is approved as per the Delegation of Authority (DOA).</w:t>
      </w:r>
    </w:p>
    <w:p>
      <w:pPr>
        <w:pStyle w:val="ListParagraph"/>
        <w:numPr>
          <w:ilvl w:val="0"/>
          <w:numId w:val="3"/>
        </w:numPr>
        <w:spacing w:after="40" w:before="40"/>
      </w:pPr>
      <w:r>
        <w:rPr>
          <w:rFonts w:ascii="Calibri" w:cs="Calibri" w:eastAsia="Calibri" w:hAnsi="Calibri"/>
          <w:color w:val="222222"/>
          <w:sz w:val="22"/>
          <w:szCs w:val="22"/>
        </w:rPr>
        <w:t xml:space="preserve">If within budget, BU Procurement raises a PO in Oracle. If a Contract or LOI is needed (orders ≥ AED 500K), proceed to SOP 3 / SOP 4.</w:t>
      </w:r>
    </w:p>
    <w:p>
      <w:pPr>
        <w:pStyle w:val="ListParagraph"/>
        <w:numPr>
          <w:ilvl w:val="0"/>
          <w:numId w:val="3"/>
        </w:numPr>
        <w:spacing w:after="40" w:before="40"/>
      </w:pPr>
      <w:r>
        <w:rPr>
          <w:rFonts w:ascii="Calibri" w:cs="Calibri" w:eastAsia="Calibri" w:hAnsi="Calibri"/>
          <w:color w:val="222222"/>
          <w:sz w:val="22"/>
          <w:szCs w:val="22"/>
        </w:rPr>
        <w:t xml:space="preserve">If over budget, an Unbudgeted Request is raised on LinkHR for approval before proceeding.</w:t>
      </w:r>
    </w:p>
    <w:p>
      <w:pPr>
        <w:pStyle w:val="Heading1"/>
        <w:pBdr>
          <w:bottom w:val="single" w:color="1F3864" w:sz="18" w:space="4"/>
        </w:pBdr>
        <w:spacing w:after="160" w:before="320"/>
      </w:pPr>
      <w:r>
        <w:rPr>
          <w:rFonts w:ascii="Calibri" w:cs="Calibri" w:eastAsia="Calibri" w:hAnsi="Calibri"/>
          <w:b/>
          <w:bCs/>
          <w:color w:val="1F3864"/>
          <w:sz w:val="30"/>
          <w:szCs w:val="30"/>
        </w:rPr>
        <w:t xml:space="preserve">11. LOI Applicability</w:t>
      </w:r>
    </w:p>
    <w:p>
      <w:pPr>
        <w:spacing w:after="60" w:before="60" w:line="290"/>
        <w:jc w:val="both"/>
      </w:pPr>
      <w:r>
        <w:rPr>
          <w:rFonts w:ascii="Calibri" w:cs="Calibri" w:eastAsia="Calibri" w:hAnsi="Calibri"/>
          <w:color w:val="222222"/>
          <w:sz w:val="22"/>
          <w:szCs w:val="22"/>
        </w:rPr>
        <w:t xml:space="preserve">LOIs are not required for orders below AED 500,000. For orders at or above this threshold, where a full contract or PO cannot be immediately issued, an LOI may be issued per SOP 3 (P-POL-004).</w:t>
      </w:r>
    </w:p>
    <w:p>
      <w:pPr>
        <w:pStyle w:val="Heading1"/>
        <w:pBdr>
          <w:bottom w:val="single" w:color="1F3864" w:sz="18" w:space="4"/>
        </w:pBdr>
        <w:spacing w:after="160" w:before="320"/>
      </w:pPr>
      <w:r>
        <w:rPr>
          <w:rFonts w:ascii="Calibri" w:cs="Calibri" w:eastAsia="Calibri" w:hAnsi="Calibri"/>
          <w:b/>
          <w:bCs/>
          <w:color w:val="1F3864"/>
          <w:sz w:val="30"/>
          <w:szCs w:val="30"/>
        </w:rPr>
        <w:t xml:space="preserve">12. Flowchart</w:t>
      </w:r>
    </w:p>
    <w:p>
      <w:pPr>
        <w:spacing w:after="80" w:before="200"/>
        <w:jc w:val="center"/>
      </w:pPr>
      <w:r>
        <w:drawing>
          <wp:inline distT="0" distB="0" distL="0" distR="0">
            <wp:extent cx="4953000" cy="6477000"/>
            <wp:effectExtent t="0" r="0" b="0" l="0"/>
            <wp:docPr id="1" name="Figure 5: RFQ / Bid Evaluation Workflow" descr="Figure 5: RFQ / Bid Evaluation Workflow" title="Figure 5: RFQ / Bid Evaluation Work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4953000" cy="6477000"/>
                    </a:xfrm>
                    <a:prstGeom prst="rect">
                      <a:avLst/>
                    </a:prstGeom>
                  </pic:spPr>
                </pic:pic>
              </a:graphicData>
            </a:graphic>
          </wp:inline>
        </w:drawing>
      </w:r>
    </w:p>
    <w:p>
      <w:pPr>
        <w:spacing w:after="200"/>
        <w:jc w:val="center"/>
      </w:pPr>
      <w:r>
        <w:rPr>
          <w:rFonts w:ascii="Calibri" w:cs="Calibri" w:eastAsia="Calibri" w:hAnsi="Calibri"/>
          <w:i/>
          <w:iCs/>
          <w:color w:val="6B7280"/>
          <w:sz w:val="18"/>
          <w:szCs w:val="18"/>
        </w:rPr>
        <w:t xml:space="preserve">Figure 5: RFQ / Bid Evaluation Workflow</w:t>
      </w:r>
    </w:p>
    <w:p>
      <w:pPr>
        <w:pStyle w:val="Heading1"/>
        <w:pBdr>
          <w:bottom w:val="single" w:color="1F3864" w:sz="18" w:space="4"/>
        </w:pBdr>
        <w:spacing w:after="160" w:before="320"/>
      </w:pPr>
      <w:r>
        <w:rPr>
          <w:rFonts w:ascii="Calibri" w:cs="Calibri" w:eastAsia="Calibri" w:hAnsi="Calibri"/>
          <w:b/>
          <w:bCs/>
          <w:color w:val="1F3864"/>
          <w:sz w:val="30"/>
          <w:szCs w:val="30"/>
        </w:rPr>
        <w:t xml:space="preserve">13.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ASL</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Supplier List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LinkHR</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Bukhatir Group HR System for Unbudgeted Requests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Letter of Compliance</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LPO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Local Purchase Order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QCS</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Quotation Comparison Statement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Request for Quotation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TCO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Total Cost of Ownership</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P-POL-003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Inviting &amp; Assessing Quotations</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83cf5dc247d9f3210b36f0ee2cc6ccc9361b6847.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Inviting &amp; Assessing Quotations - P-POL-003</dc:title>
  <dc:creator>Bukhatir Group - Group Supply Chain</dc:creator>
  <cp:lastModifiedBy>Un-named</cp:lastModifiedBy>
  <cp:revision>1</cp:revision>
  <dcterms:created xsi:type="dcterms:W3CDTF">2026-04-13T04:45:55.554Z</dcterms:created>
  <dcterms:modified xsi:type="dcterms:W3CDTF">2026-04-13T04:45:55.554Z</dcterms:modified>
</cp:coreProperties>
</file>

<file path=docProps/custom.xml><?xml version="1.0" encoding="utf-8"?>
<Properties xmlns="http://schemas.openxmlformats.org/officeDocument/2006/custom-properties" xmlns:vt="http://schemas.openxmlformats.org/officeDocument/2006/docPropsVTypes"/>
</file>