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600"/>
        <w:gridCol w:w="4160"/>
      </w:tblGrid>
      <w:tr>
        <w:tc>
          <w:tcPr>
            <w:tcW w:type="dxa" w:w="260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left"/>
            </w:pPr>
            <w:r>
              <w:rPr>
                <w:rFonts w:ascii="Calibri" w:cs="Calibri" w:eastAsia="Calibri" w:hAnsi="Calibri"/>
                <w:b/>
                <w:bCs/>
                <w:color w:val="FFFFFF"/>
                <w:sz w:val="20"/>
                <w:szCs w:val="20"/>
              </w:rPr>
              <w:t xml:space="preserve">Group Policy &amp; Procedure</w:t>
            </w:r>
          </w:p>
        </w:tc>
        <w:tc>
          <w:tcPr>
            <w:tcW w:type="dxa" w:w="260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jc w:val="left"/>
            </w:pPr>
            <w:r>
              <w:rPr>
                <w:rFonts w:ascii="Calibri" w:cs="Calibri" w:eastAsia="Calibri" w:hAnsi="Calibri"/>
                <w:b/>
                <w:bCs/>
                <w:color w:val="FFFFFF"/>
                <w:sz w:val="20"/>
                <w:szCs w:val="20"/>
              </w:rPr>
              <w:t xml:space="preserve">Document No.</w:t>
            </w:r>
          </w:p>
        </w:tc>
        <w:tc>
          <w:tcPr>
            <w:tcW w:type="dxa" w:w="4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bCs/>
                <w:color w:val="222222"/>
                <w:sz w:val="20"/>
                <w:szCs w:val="20"/>
              </w:rPr>
              <w:t xml:space="preserve">P-POL-002</w:t>
            </w:r>
          </w:p>
        </w:tc>
      </w:tr>
      <w:tr>
        <w:tc>
          <w:tcPr>
            <w:tcW w:type="dxa" w:w="260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left"/>
            </w:pPr>
            <w:r>
              <w:rPr>
                <w:rFonts w:ascii="Calibri" w:cs="Calibri" w:eastAsia="Calibri" w:hAnsi="Calibri"/>
                <w:b/>
                <w:bCs/>
                <w:color w:val="FFFFFF"/>
                <w:sz w:val="20"/>
                <w:szCs w:val="20"/>
              </w:rPr>
              <w:t xml:space="preserve">Group Supply Chain</w:t>
            </w:r>
          </w:p>
        </w:tc>
        <w:tc>
          <w:tcPr>
            <w:tcW w:type="dxa" w:w="260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jc w:val="left"/>
            </w:pPr>
            <w:r>
              <w:rPr>
                <w:rFonts w:ascii="Calibri" w:cs="Calibri" w:eastAsia="Calibri" w:hAnsi="Calibri"/>
                <w:b/>
                <w:bCs/>
                <w:color w:val="FFFFFF"/>
                <w:sz w:val="20"/>
                <w:szCs w:val="20"/>
              </w:rPr>
              <w:t xml:space="preserve">Ver. No. | Rev Date</w:t>
            </w:r>
          </w:p>
        </w:tc>
        <w:tc>
          <w:tcPr>
            <w:tcW w:type="dxa" w:w="4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0.4 | 08 APR 2026</w:t>
            </w:r>
          </w:p>
        </w:tc>
      </w:tr>
      <w:tr>
        <w:tc>
          <w:tcPr>
            <w:tcW w:type="dxa" w:w="260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left"/>
            </w:pPr>
            <w:r>
              <w:rPr>
                <w:rFonts w:ascii="Calibri" w:cs="Calibri" w:eastAsia="Calibri" w:hAnsi="Calibri"/>
                <w:b/>
                <w:bCs/>
                <w:color w:val="FFFFFF"/>
                <w:sz w:val="20"/>
                <w:szCs w:val="20"/>
              </w:rPr>
              <w:t xml:space="preserve">Title: Purchase Requisition</w:t>
            </w:r>
          </w:p>
        </w:tc>
        <w:tc>
          <w:tcPr>
            <w:tcW w:type="dxa" w:w="260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jc w:val="left"/>
            </w:pPr>
            <w:r>
              <w:rPr>
                <w:rFonts w:ascii="Calibri" w:cs="Calibri" w:eastAsia="Calibri" w:hAnsi="Calibri"/>
                <w:b/>
                <w:bCs/>
                <w:color w:val="FFFFFF"/>
                <w:sz w:val="20"/>
                <w:szCs w:val="20"/>
              </w:rPr>
              <w:t xml:space="preserve">Effective Date</w:t>
            </w:r>
          </w:p>
        </w:tc>
        <w:tc>
          <w:tcPr>
            <w:tcW w:type="dxa" w:w="4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08 April 2026</w:t>
            </w:r>
          </w:p>
        </w:tc>
      </w:tr>
    </w:tbl>
    <w:p>
      <w:pPr>
        <w:spacing w:after="300" w:before="300"/>
      </w:pPr>
      <w:r>
        <w:t xml:space="preserve"/>
      </w:r>
    </w:p>
    <w:p>
      <w:pPr>
        <w:shd w:fill="1F3864" w:val="clear"/>
        <w:spacing w:after="100" w:before="200"/>
        <w:jc w:val="center"/>
      </w:pPr>
      <w:r>
        <w:rPr>
          <w:rFonts w:ascii="Calibri" w:cs="Calibri" w:eastAsia="Calibri" w:hAnsi="Calibri"/>
          <w:b/>
          <w:bCs/>
          <w:color w:val="FFFFFF"/>
          <w:sz w:val="44"/>
          <w:szCs w:val="44"/>
        </w:rPr>
        <w:t xml:space="preserve">BUKHATIR GROUP</w:t>
      </w:r>
    </w:p>
    <w:p>
      <w:pPr>
        <w:shd w:fill="2E75B6" w:val="clear"/>
        <w:spacing w:after="100" w:before="0"/>
        <w:jc w:val="center"/>
      </w:pPr>
      <w:r>
        <w:rPr>
          <w:rFonts w:ascii="Calibri" w:cs="Calibri" w:eastAsia="Calibri" w:hAnsi="Calibri"/>
          <w:i/>
          <w:iCs/>
          <w:color w:val="FFFFFF"/>
          <w:sz w:val="26"/>
          <w:szCs w:val="26"/>
        </w:rPr>
        <w:t xml:space="preserve">Strength through Diversity</w:t>
      </w:r>
    </w:p>
    <w:p>
      <w:pPr>
        <w:spacing w:after="400" w:before="400"/>
      </w:pPr>
      <w:r>
        <w:t xml:space="preserve"/>
      </w:r>
    </w:p>
    <w:p>
      <w:pPr>
        <w:spacing w:after="100" w:before="400"/>
        <w:jc w:val="center"/>
      </w:pPr>
      <w:r>
        <w:rPr>
          <w:rFonts w:ascii="Calibri" w:cs="Calibri" w:eastAsia="Calibri" w:hAnsi="Calibri"/>
          <w:b/>
          <w:bCs/>
          <w:color w:val="1F3864"/>
          <w:sz w:val="40"/>
          <w:szCs w:val="40"/>
        </w:rPr>
        <w:t xml:space="preserve">Group Policy and Procedure</w:t>
      </w:r>
    </w:p>
    <w:p>
      <w:pPr>
        <w:spacing w:after="600"/>
        <w:jc w:val="center"/>
      </w:pPr>
      <w:r>
        <w:rPr>
          <w:rFonts w:ascii="Calibri" w:cs="Calibri" w:eastAsia="Calibri" w:hAnsi="Calibri"/>
          <w:color w:val="2E75B6"/>
          <w:sz w:val="30"/>
          <w:szCs w:val="30"/>
        </w:rPr>
        <w:t xml:space="preserve">Group Supply Chain (GSC)</w:t>
      </w:r>
    </w:p>
    <w:p>
      <w:pPr>
        <w:spacing w:after="200"/>
        <w:jc w:val="center"/>
      </w:pPr>
      <w:r>
        <w:rPr>
          <w:rFonts w:ascii="Calibri" w:cs="Calibri" w:eastAsia="Calibri" w:hAnsi="Calibri"/>
          <w:b/>
          <w:bCs/>
          <w:color w:val="1F3864"/>
          <w:sz w:val="44"/>
          <w:szCs w:val="44"/>
        </w:rPr>
        <w:t xml:space="preserve">Purchase Requisition</w:t>
      </w:r>
    </w:p>
    <w:p>
      <w:pPr>
        <w:spacing w:after="400"/>
        <w:jc w:val="center"/>
      </w:pPr>
      <w:r>
        <w:rPr>
          <w:rFonts w:ascii="Calibri" w:cs="Calibri" w:eastAsia="Calibri" w:hAnsi="Calibri"/>
          <w:i/>
          <w:iCs/>
          <w:color w:val="6B7280"/>
          <w:sz w:val="24"/>
          <w:szCs w:val="24"/>
        </w:rPr>
        <w:t xml:space="preserve">OPEX, CAPEX, Contracts &amp; Sub-contracts</w:t>
      </w:r>
    </w:p>
    <w:p>
      <w:pPr>
        <w:spacing w:after="600" w:before="600"/>
      </w:pPr>
      <w:r>
        <w:t xml:space="preserve"/>
      </w:r>
    </w:p>
    <w:p>
      <w:pPr>
        <w:jc w:val="center"/>
      </w:pPr>
      <w:r>
        <w:rPr>
          <w:rFonts w:ascii="Calibri" w:cs="Calibri" w:eastAsia="Calibri" w:hAnsi="Calibri"/>
          <w:b/>
          <w:bCs/>
          <w:color w:val="1F3864"/>
          <w:sz w:val="28"/>
          <w:szCs w:val="28"/>
        </w:rPr>
        <w:t xml:space="preserve">Document No: P-POL-002</w:t>
      </w:r>
    </w:p>
    <w:p>
      <w:pPr>
        <w:spacing w:after="400" w:before="400"/>
      </w:pPr>
      <w:r>
        <w:t xml:space="preserve"/>
      </w:r>
    </w:p>
    <w:p>
      <w:pPr>
        <w:pBdr>
          <w:top w:val="single" w:color="C9A961" w:sz="12"/>
        </w:pBdr>
        <w:jc w:val="center"/>
      </w:pPr>
      <w:r>
        <w:rPr>
          <w:rFonts w:ascii="Calibri" w:cs="Calibri" w:eastAsia="Calibri" w:hAnsi="Calibri"/>
          <w:color w:val="6B7280"/>
          <w:sz w:val="18"/>
          <w:szCs w:val="18"/>
        </w:rPr>
        <w:t xml:space="preserve">Copyright © 2026 Bukhatir Group</w:t>
      </w:r>
    </w:p>
    <w:p>
      <w:r>
        <w:br w:type="page"/>
      </w:r>
    </w:p>
    <w:p>
      <w:pPr>
        <w:pStyle w:val="Heading1"/>
        <w:pBdr>
          <w:bottom w:val="single" w:color="1F3864" w:sz="18" w:space="4"/>
        </w:pBdr>
        <w:spacing w:after="160" w:before="320"/>
      </w:pPr>
      <w:r>
        <w:rPr>
          <w:rFonts w:ascii="Calibri" w:cs="Calibri" w:eastAsia="Calibri" w:hAnsi="Calibri"/>
          <w:b/>
          <w:bCs/>
          <w:color w:val="1F3864"/>
          <w:sz w:val="30"/>
          <w:szCs w:val="30"/>
        </w:rPr>
        <w:t xml:space="preserve">Revision Control</w:t>
      </w:r>
    </w:p>
    <w:p>
      <w:pPr>
        <w:spacing w:after="60" w:before="60" w:line="290"/>
        <w:jc w:val="both"/>
      </w:pPr>
      <w:r>
        <w:rPr>
          <w:rFonts w:ascii="Calibri" w:cs="Calibri" w:eastAsia="Calibri" w:hAnsi="Calibri"/>
          <w:color w:val="222222"/>
          <w:sz w:val="22"/>
          <w:szCs w:val="22"/>
        </w:rPr>
        <w:t xml:space="preserve">This document is issued under the authority of Bukhatir Group and applies when carrying out the activities described. Revisions may be issued as necessary under the authority of the Group Head of Procurement. Revision history is recorded below with every revised policy.</w:t>
      </w:r>
    </w:p>
    <w:p>
      <w:pPr>
        <w:spacing w:after="100" w:before="100"/>
      </w:pPr>
      <w:r>
        <w:t xml:space="preserve"/>
      </w:r>
    </w:p>
    <w:p>
      <w:pPr>
        <w:pStyle w:val="Heading2"/>
        <w:spacing w:after="100" w:before="220"/>
      </w:pPr>
      <w:r>
        <w:rPr>
          <w:rFonts w:ascii="Calibri" w:cs="Calibri" w:eastAsia="Calibri" w:hAnsi="Calibri"/>
          <w:b/>
          <w:bCs/>
          <w:color w:val="2E75B6"/>
          <w:sz w:val="26"/>
          <w:szCs w:val="26"/>
        </w:rPr>
        <w:t xml:space="preserve">Revision History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500"/>
        <w:gridCol w:w="5060"/>
      </w:tblGrid>
      <w:tr>
        <w:trPr>
          <w:tblHeader/>
        </w:trPr>
        <w:tc>
          <w:tcPr>
            <w:tcW w:type="dxa" w:w="180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jc w:val="left"/>
            </w:pPr>
            <w:r>
              <w:rPr>
                <w:rFonts w:ascii="Calibri" w:cs="Calibri" w:eastAsia="Calibri" w:hAnsi="Calibri"/>
                <w:b/>
                <w:bCs/>
                <w:color w:val="FFFFFF"/>
                <w:sz w:val="20"/>
                <w:szCs w:val="20"/>
              </w:rPr>
              <w:t xml:space="preserve">Ver. No.</w:t>
            </w:r>
          </w:p>
        </w:tc>
        <w:tc>
          <w:tcPr>
            <w:tcW w:type="dxa" w:w="250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jc w:val="left"/>
            </w:pPr>
            <w:r>
              <w:rPr>
                <w:rFonts w:ascii="Calibri" w:cs="Calibri" w:eastAsia="Calibri" w:hAnsi="Calibri"/>
                <w:b/>
                <w:bCs/>
                <w:color w:val="FFFFFF"/>
                <w:sz w:val="20"/>
                <w:szCs w:val="20"/>
              </w:rPr>
              <w:t xml:space="preserve">Effective Date</w:t>
            </w:r>
          </w:p>
        </w:tc>
        <w:tc>
          <w:tcPr>
            <w:tcW w:type="dxa" w:w="506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jc w:val="left"/>
            </w:pPr>
            <w:r>
              <w:rPr>
                <w:rFonts w:ascii="Calibri" w:cs="Calibri" w:eastAsia="Calibri" w:hAnsi="Calibri"/>
                <w:b/>
                <w:bCs/>
                <w:color w:val="FFFFFF"/>
                <w:sz w:val="20"/>
                <w:szCs w:val="20"/>
              </w:rPr>
              <w:t xml:space="preserve">Description</w:t>
            </w:r>
          </w:p>
        </w:tc>
      </w:tr>
      <w:tr>
        <w:tc>
          <w:tcPr>
            <w:tcW w:type="dxa" w:w="180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02</w:t>
            </w:r>
          </w:p>
        </w:tc>
        <w:tc>
          <w:tcPr>
            <w:tcW w:type="dxa" w:w="250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September 2016</w:t>
            </w:r>
          </w:p>
        </w:tc>
        <w:tc>
          <w:tcPr>
            <w:tcW w:type="dxa" w:w="506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Original Procurement Policy</w:t>
            </w:r>
          </w:p>
        </w:tc>
      </w:tr>
      <w:tr>
        <w:tc>
          <w:tcPr>
            <w:tcW w:type="dxa" w:w="18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0.3</w:t>
            </w:r>
          </w:p>
        </w:tc>
        <w:tc>
          <w:tcPr>
            <w:tcW w:type="dxa" w:w="25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March 2026</w:t>
            </w:r>
          </w:p>
        </w:tc>
        <w:tc>
          <w:tcPr>
            <w:tcW w:type="dxa" w:w="50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Procurement Policy – Purchase Requisition</w:t>
            </w:r>
          </w:p>
        </w:tc>
      </w:tr>
      <w:tr>
        <w:tc>
          <w:tcPr>
            <w:tcW w:type="dxa" w:w="180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0.4</w:t>
            </w:r>
          </w:p>
        </w:tc>
        <w:tc>
          <w:tcPr>
            <w:tcW w:type="dxa" w:w="250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08 April 2026</w:t>
            </w:r>
          </w:p>
        </w:tc>
        <w:tc>
          <w:tcPr>
            <w:tcW w:type="dxa" w:w="506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Redesign, content modernization &amp; flowcharts – Purchase Requisition</w:t>
            </w:r>
          </w:p>
        </w:tc>
      </w:tr>
    </w:tbl>
    <w:p>
      <w:pPr>
        <w:spacing w:after="200" w:before="200"/>
      </w:pPr>
      <w:r>
        <w:t xml:space="preserve"/>
      </w:r>
    </w:p>
    <w:p>
      <w:pPr>
        <w:pStyle w:val="Heading2"/>
        <w:spacing w:after="100" w:before="220"/>
      </w:pPr>
      <w:r>
        <w:rPr>
          <w:rFonts w:ascii="Calibri" w:cs="Calibri" w:eastAsia="Calibri" w:hAnsi="Calibri"/>
          <w:b/>
          <w:bCs/>
          <w:color w:val="2E75B6"/>
          <w:sz w:val="26"/>
          <w:szCs w:val="26"/>
        </w:rPr>
        <w:t xml:space="preserve">Revision Sign-Off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3360"/>
        <w:gridCol w:w="2000"/>
      </w:tblGrid>
      <w:tr>
        <w:trPr>
          <w:tblHeader/>
        </w:trPr>
        <w:tc>
          <w:tcPr>
            <w:tcW w:type="dxa" w:w="400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jc w:val="left"/>
            </w:pPr>
            <w:r>
              <w:rPr>
                <w:rFonts w:ascii="Calibri" w:cs="Calibri" w:eastAsia="Calibri" w:hAnsi="Calibri"/>
                <w:b/>
                <w:bCs/>
                <w:color w:val="FFFFFF"/>
                <w:sz w:val="20"/>
                <w:szCs w:val="20"/>
              </w:rPr>
              <w:t xml:space="preserve">Approving Committee</w:t>
            </w:r>
          </w:p>
        </w:tc>
        <w:tc>
          <w:tcPr>
            <w:tcW w:type="dxa" w:w="336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jc w:val="left"/>
            </w:pPr>
            <w:r>
              <w:rPr>
                <w:rFonts w:ascii="Calibri" w:cs="Calibri" w:eastAsia="Calibri" w:hAnsi="Calibri"/>
                <w:b/>
                <w:bCs/>
                <w:color w:val="FFFFFF"/>
                <w:sz w:val="20"/>
                <w:szCs w:val="20"/>
              </w:rPr>
              <w:t xml:space="preserve">Name</w:t>
            </w:r>
          </w:p>
        </w:tc>
        <w:tc>
          <w:tcPr>
            <w:tcW w:type="dxa" w:w="200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jc w:val="left"/>
            </w:pPr>
            <w:r>
              <w:rPr>
                <w:rFonts w:ascii="Calibri" w:cs="Calibri" w:eastAsia="Calibri" w:hAnsi="Calibri"/>
                <w:b/>
                <w:bCs/>
                <w:color w:val="FFFFFF"/>
                <w:sz w:val="20"/>
                <w:szCs w:val="20"/>
              </w:rPr>
              <w:t xml:space="preserve">Signature</w:t>
            </w:r>
          </w:p>
        </w:tc>
      </w:tr>
      <w:tr>
        <w:tc>
          <w:tcPr>
            <w:tcW w:type="dxa" w:w="400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Endorsed by — Group Head of Supply Chain</w:t>
            </w:r>
          </w:p>
        </w:tc>
        <w:tc>
          <w:tcPr>
            <w:tcW w:type="dxa" w:w="336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Mohamad Koussa</w:t>
            </w:r>
          </w:p>
        </w:tc>
        <w:tc>
          <w:tcPr>
            <w:tcW w:type="dxa" w:w="200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
            </w:r>
          </w:p>
        </w:tc>
      </w:tr>
      <w:tr>
        <w:tc>
          <w:tcPr>
            <w:tcW w:type="dxa" w:w="4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Reviewed by — BIIL CEO</w:t>
            </w:r>
          </w:p>
        </w:tc>
        <w:tc>
          <w:tcPr>
            <w:tcW w:type="dxa" w:w="3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Mr. Ayman Ismail</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
            </w:r>
          </w:p>
        </w:tc>
      </w:tr>
      <w:tr>
        <w:tc>
          <w:tcPr>
            <w:tcW w:type="dxa" w:w="400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Reviewed by — Group Chief Financial Officer</w:t>
            </w:r>
          </w:p>
        </w:tc>
        <w:tc>
          <w:tcPr>
            <w:tcW w:type="dxa" w:w="336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Mohamad Adnaan Sait</w:t>
            </w:r>
          </w:p>
        </w:tc>
        <w:tc>
          <w:tcPr>
            <w:tcW w:type="dxa" w:w="200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
            </w:r>
          </w:p>
        </w:tc>
      </w:tr>
      <w:tr>
        <w:tc>
          <w:tcPr>
            <w:tcW w:type="dxa" w:w="4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Approved by — Group Vice Chairman &amp; Group CEO</w:t>
            </w:r>
          </w:p>
        </w:tc>
        <w:tc>
          <w:tcPr>
            <w:tcW w:type="dxa" w:w="3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Mr. Salah Bukhatir</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
            </w:r>
          </w:p>
        </w:tc>
      </w:tr>
    </w:tbl>
    <w:p>
      <w:pPr>
        <w:spacing w:after="200" w:before="200"/>
      </w:pPr>
      <w:r>
        <w:t xml:space="preserve"/>
      </w:r>
    </w:p>
    <w:p>
      <w:pPr>
        <w:pStyle w:val="Heading2"/>
        <w:spacing w:after="100" w:before="220"/>
      </w:pPr>
      <w:r>
        <w:rPr>
          <w:rFonts w:ascii="Calibri" w:cs="Calibri" w:eastAsia="Calibri" w:hAnsi="Calibri"/>
          <w:b/>
          <w:bCs/>
          <w:color w:val="2E75B6"/>
          <w:sz w:val="26"/>
          <w:szCs w:val="26"/>
        </w:rPr>
        <w:t xml:space="preserve">Distribution 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8560"/>
      </w:tblGrid>
      <w:tr>
        <w:trPr>
          <w:tblHeader/>
        </w:trPr>
        <w:tc>
          <w:tcPr>
            <w:tcW w:type="dxa" w:w="80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jc w:val="left"/>
            </w:pPr>
            <w:r>
              <w:rPr>
                <w:rFonts w:ascii="Calibri" w:cs="Calibri" w:eastAsia="Calibri" w:hAnsi="Calibri"/>
                <w:b/>
                <w:bCs/>
                <w:color w:val="FFFFFF"/>
                <w:sz w:val="20"/>
                <w:szCs w:val="20"/>
              </w:rPr>
              <w:t xml:space="preserve">#</w:t>
            </w:r>
          </w:p>
        </w:tc>
        <w:tc>
          <w:tcPr>
            <w:tcW w:type="dxa" w:w="856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jc w:val="left"/>
            </w:pPr>
            <w:r>
              <w:rPr>
                <w:rFonts w:ascii="Calibri" w:cs="Calibri" w:eastAsia="Calibri" w:hAnsi="Calibri"/>
                <w:b/>
                <w:bCs/>
                <w:color w:val="FFFFFF"/>
                <w:sz w:val="20"/>
                <w:szCs w:val="20"/>
              </w:rPr>
              <w:t xml:space="preserve">Departments</w:t>
            </w:r>
          </w:p>
        </w:tc>
      </w:tr>
      <w:tr>
        <w:tc>
          <w:tcPr>
            <w:tcW w:type="dxa" w:w="80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1</w:t>
            </w:r>
          </w:p>
        </w:tc>
        <w:tc>
          <w:tcPr>
            <w:tcW w:type="dxa" w:w="856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Business Unit Procurement Departments</w:t>
            </w:r>
          </w:p>
        </w:tc>
      </w:tr>
      <w:tr>
        <w:tc>
          <w:tcPr>
            <w:tcW w:type="dxa" w:w="8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2</w:t>
            </w:r>
          </w:p>
        </w:tc>
        <w:tc>
          <w:tcPr>
            <w:tcW w:type="dxa" w:w="8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Group Supply Chain (GSC)</w:t>
            </w:r>
          </w:p>
        </w:tc>
      </w:tr>
      <w:tr>
        <w:tc>
          <w:tcPr>
            <w:tcW w:type="dxa" w:w="80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3</w:t>
            </w:r>
          </w:p>
        </w:tc>
        <w:tc>
          <w:tcPr>
            <w:tcW w:type="dxa" w:w="856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Finance, Legal, Compliance, Internal Audit</w:t>
            </w:r>
          </w:p>
        </w:tc>
      </w:tr>
      <w:tr>
        <w:tc>
          <w:tcPr>
            <w:tcW w:type="dxa" w:w="8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4</w:t>
            </w:r>
          </w:p>
        </w:tc>
        <w:tc>
          <w:tcPr>
            <w:tcW w:type="dxa" w:w="8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Business Unit Management</w:t>
            </w:r>
          </w:p>
        </w:tc>
      </w:tr>
    </w:tbl>
    <w:p>
      <w:r>
        <w:br w:type="page"/>
      </w:r>
    </w:p>
    <w:p>
      <w:pPr>
        <w:pStyle w:val="Heading1"/>
        <w:pBdr>
          <w:bottom w:val="single" w:color="1F3864" w:sz="18" w:space="4"/>
        </w:pBdr>
        <w:spacing w:after="160" w:before="320"/>
      </w:pPr>
      <w:r>
        <w:rPr>
          <w:rFonts w:ascii="Calibri" w:cs="Calibri" w:eastAsia="Calibri" w:hAnsi="Calibri"/>
          <w:b/>
          <w:bCs/>
          <w:color w:val="1F3864"/>
          <w:sz w:val="30"/>
          <w:szCs w:val="30"/>
        </w:rPr>
        <w:t xml:space="preserve">1. Purpose &amp; Objective</w:t>
      </w:r>
    </w:p>
    <w:p>
      <w:pPr>
        <w:spacing w:after="60" w:before="60" w:line="290"/>
        <w:jc w:val="both"/>
      </w:pPr>
      <w:r>
        <w:rPr>
          <w:rFonts w:ascii="Calibri" w:cs="Calibri" w:eastAsia="Calibri" w:hAnsi="Calibri"/>
          <w:color w:val="222222"/>
          <w:sz w:val="22"/>
          <w:szCs w:val="22"/>
        </w:rPr>
        <w:t xml:space="preserve">This policy defines how procurement needs are captured, validated and approved across Bukhatir Group via the Oracle ERP system. It covers OPEX, CAPEX, Contracts and Sub-contracts requisitions.</w:t>
      </w:r>
    </w:p>
    <w:p>
      <w:pPr>
        <w:pStyle w:val="Heading1"/>
        <w:pBdr>
          <w:bottom w:val="single" w:color="1F3864" w:sz="18" w:space="4"/>
        </w:pBdr>
        <w:spacing w:after="160" w:before="320"/>
      </w:pPr>
      <w:r>
        <w:rPr>
          <w:rFonts w:ascii="Calibri" w:cs="Calibri" w:eastAsia="Calibri" w:hAnsi="Calibri"/>
          <w:b/>
          <w:bCs/>
          <w:color w:val="1F3864"/>
          <w:sz w:val="30"/>
          <w:szCs w:val="30"/>
        </w:rPr>
        <w:t xml:space="preserve">2. Scope</w:t>
      </w:r>
    </w:p>
    <w:p>
      <w:pPr>
        <w:spacing w:after="60" w:before="60" w:line="290"/>
        <w:jc w:val="both"/>
      </w:pPr>
      <w:r>
        <w:rPr>
          <w:rFonts w:ascii="Calibri" w:cs="Calibri" w:eastAsia="Calibri" w:hAnsi="Calibri"/>
          <w:color w:val="222222"/>
          <w:sz w:val="22"/>
          <w:szCs w:val="22"/>
        </w:rPr>
        <w:t xml:space="preserve">Applies to all Group Business Units and to all procurement transactions irrespective of value, commodity or geography. Emergency Purchase Requisitions are permitted only under the narrow conditions set out in Section 7.</w:t>
      </w:r>
    </w:p>
    <w:p>
      <w:pPr>
        <w:pStyle w:val="Heading1"/>
        <w:pBdr>
          <w:bottom w:val="single" w:color="1F3864" w:sz="18" w:space="4"/>
        </w:pBdr>
        <w:spacing w:after="160" w:before="320"/>
      </w:pPr>
      <w:r>
        <w:rPr>
          <w:rFonts w:ascii="Calibri" w:cs="Calibri" w:eastAsia="Calibri" w:hAnsi="Calibri"/>
          <w:b/>
          <w:bCs/>
          <w:color w:val="1F3864"/>
          <w:sz w:val="30"/>
          <w:szCs w:val="30"/>
        </w:rPr>
        <w:t xml:space="preserve">3. Mandatory PR Fields &amp; Attachments</w:t>
      </w:r>
    </w:p>
    <w:p>
      <w:pPr>
        <w:spacing w:after="60" w:before="60" w:line="290"/>
        <w:jc w:val="both"/>
      </w:pPr>
      <w:r>
        <w:rPr>
          <w:rFonts w:ascii="Calibri" w:cs="Calibri" w:eastAsia="Calibri" w:hAnsi="Calibri"/>
          <w:color w:val="222222"/>
          <w:sz w:val="22"/>
          <w:szCs w:val="22"/>
        </w:rPr>
        <w:t xml:space="preserve">Every Purchase Requisition raised in the Oracle system shall capture, as a minimum:</w:t>
      </w:r>
    </w:p>
    <w:p>
      <w:pPr>
        <w:pStyle w:val="ListParagraph"/>
        <w:numPr>
          <w:ilvl w:val="0"/>
          <w:numId w:val="2"/>
        </w:numPr>
        <w:spacing w:after="40" w:before="40"/>
      </w:pPr>
      <w:r>
        <w:rPr>
          <w:rFonts w:ascii="Calibri" w:cs="Calibri" w:eastAsia="Calibri" w:hAnsi="Calibri"/>
          <w:color w:val="222222"/>
          <w:sz w:val="22"/>
          <w:szCs w:val="22"/>
        </w:rPr>
        <w:t xml:space="preserve">Requestor, Cost Centre, GL Account, Project / Work-Order.</w:t>
      </w:r>
    </w:p>
    <w:p>
      <w:pPr>
        <w:pStyle w:val="ListParagraph"/>
        <w:numPr>
          <w:ilvl w:val="0"/>
          <w:numId w:val="2"/>
        </w:numPr>
        <w:spacing w:after="40" w:before="40"/>
      </w:pPr>
      <w:r>
        <w:rPr>
          <w:rFonts w:ascii="Calibri" w:cs="Calibri" w:eastAsia="Calibri" w:hAnsi="Calibri"/>
          <w:color w:val="222222"/>
          <w:sz w:val="22"/>
          <w:szCs w:val="22"/>
        </w:rPr>
        <w:t xml:space="preserve">Detailed description, specification, quantity, unit of measure.</w:t>
      </w:r>
    </w:p>
    <w:p>
      <w:pPr>
        <w:pStyle w:val="ListParagraph"/>
        <w:numPr>
          <w:ilvl w:val="0"/>
          <w:numId w:val="2"/>
        </w:numPr>
        <w:spacing w:after="40" w:before="40"/>
      </w:pPr>
      <w:r>
        <w:rPr>
          <w:rFonts w:ascii="Calibri" w:cs="Calibri" w:eastAsia="Calibri" w:hAnsi="Calibri"/>
          <w:color w:val="222222"/>
          <w:sz w:val="22"/>
          <w:szCs w:val="22"/>
        </w:rPr>
        <w:t xml:space="preserve">Required delivery date and delivery location.</w:t>
      </w:r>
    </w:p>
    <w:p>
      <w:pPr>
        <w:pStyle w:val="ListParagraph"/>
        <w:numPr>
          <w:ilvl w:val="0"/>
          <w:numId w:val="2"/>
        </w:numPr>
        <w:spacing w:after="40" w:before="40"/>
      </w:pPr>
      <w:r>
        <w:rPr>
          <w:rFonts w:ascii="Calibri" w:cs="Calibri" w:eastAsia="Calibri" w:hAnsi="Calibri"/>
          <w:color w:val="222222"/>
          <w:sz w:val="22"/>
          <w:szCs w:val="22"/>
        </w:rPr>
        <w:t xml:space="preserve">Budget reference and available balance.</w:t>
      </w:r>
    </w:p>
    <w:p>
      <w:pPr>
        <w:pStyle w:val="ListParagraph"/>
        <w:numPr>
          <w:ilvl w:val="0"/>
          <w:numId w:val="2"/>
        </w:numPr>
        <w:spacing w:after="40" w:before="40"/>
      </w:pPr>
      <w:r>
        <w:rPr>
          <w:rFonts w:ascii="Calibri" w:cs="Calibri" w:eastAsia="Calibri" w:hAnsi="Calibri"/>
          <w:color w:val="222222"/>
          <w:sz w:val="22"/>
          <w:szCs w:val="22"/>
        </w:rPr>
        <w:t xml:space="preserve">Attachments: technical specification, BOQ, drawings, HSE requirements, business case (CAPEX).</w:t>
      </w:r>
    </w:p>
    <w:p>
      <w:pPr>
        <w:pStyle w:val="ListParagraph"/>
        <w:numPr>
          <w:ilvl w:val="0"/>
          <w:numId w:val="2"/>
        </w:numPr>
        <w:spacing w:after="40" w:before="40"/>
      </w:pPr>
      <w:r>
        <w:rPr>
          <w:rFonts w:ascii="Calibri" w:cs="Calibri" w:eastAsia="Calibri" w:hAnsi="Calibri"/>
          <w:color w:val="222222"/>
          <w:sz w:val="22"/>
          <w:szCs w:val="22"/>
        </w:rPr>
        <w:t xml:space="preserve">Supplier preference (if any) with justification.</w:t>
      </w:r>
    </w:p>
    <w:p>
      <w:pPr>
        <w:pStyle w:val="Heading1"/>
        <w:pBdr>
          <w:bottom w:val="single" w:color="1F3864" w:sz="18" w:space="4"/>
        </w:pBdr>
        <w:spacing w:after="160" w:before="320"/>
      </w:pPr>
      <w:r>
        <w:rPr>
          <w:rFonts w:ascii="Calibri" w:cs="Calibri" w:eastAsia="Calibri" w:hAnsi="Calibri"/>
          <w:b/>
          <w:bCs/>
          <w:color w:val="1F3864"/>
          <w:sz w:val="30"/>
          <w:szCs w:val="30"/>
        </w:rPr>
        <w:t xml:space="preserve">4. DOA-Aligned Approval Routing</w:t>
      </w:r>
    </w:p>
    <w:p>
      <w:pPr>
        <w:spacing w:after="60" w:before="60" w:line="290"/>
        <w:jc w:val="both"/>
      </w:pPr>
      <w:r>
        <w:rPr>
          <w:rFonts w:ascii="Calibri" w:cs="Calibri" w:eastAsia="Calibri" w:hAnsi="Calibri"/>
          <w:color w:val="222222"/>
          <w:sz w:val="22"/>
          <w:szCs w:val="22"/>
        </w:rPr>
        <w:t xml:space="preserve">Purchase Requisitions are routed automatically through the Oracle workflow in accordance with the Group Delegation of Authority (DOA).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300"/>
        <w:gridCol w:w="2300"/>
        <w:gridCol w:w="2560"/>
      </w:tblGrid>
      <w:tr>
        <w:trPr>
          <w:tblHeader/>
        </w:trPr>
        <w:tc>
          <w:tcPr>
            <w:tcW w:type="dxa" w:w="220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jc w:val="left"/>
            </w:pPr>
            <w:r>
              <w:rPr>
                <w:rFonts w:ascii="Calibri" w:cs="Calibri" w:eastAsia="Calibri" w:hAnsi="Calibri"/>
                <w:b/>
                <w:bCs/>
                <w:color w:val="FFFFFF"/>
                <w:sz w:val="20"/>
                <w:szCs w:val="20"/>
              </w:rPr>
              <w:t xml:space="preserve">Value Band (AED)</w:t>
            </w:r>
          </w:p>
        </w:tc>
        <w:tc>
          <w:tcPr>
            <w:tcW w:type="dxa" w:w="230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jc w:val="left"/>
            </w:pPr>
            <w:r>
              <w:rPr>
                <w:rFonts w:ascii="Calibri" w:cs="Calibri" w:eastAsia="Calibri" w:hAnsi="Calibri"/>
                <w:b/>
                <w:bCs/>
                <w:color w:val="FFFFFF"/>
                <w:sz w:val="20"/>
                <w:szCs w:val="20"/>
              </w:rPr>
              <w:t xml:space="preserve">OPEX</w:t>
            </w:r>
          </w:p>
        </w:tc>
        <w:tc>
          <w:tcPr>
            <w:tcW w:type="dxa" w:w="230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jc w:val="left"/>
            </w:pPr>
            <w:r>
              <w:rPr>
                <w:rFonts w:ascii="Calibri" w:cs="Calibri" w:eastAsia="Calibri" w:hAnsi="Calibri"/>
                <w:b/>
                <w:bCs/>
                <w:color w:val="FFFFFF"/>
                <w:sz w:val="20"/>
                <w:szCs w:val="20"/>
              </w:rPr>
              <w:t xml:space="preserve">CAPEX</w:t>
            </w:r>
          </w:p>
        </w:tc>
        <w:tc>
          <w:tcPr>
            <w:tcW w:type="dxa" w:w="256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jc w:val="left"/>
            </w:pPr>
            <w:r>
              <w:rPr>
                <w:rFonts w:ascii="Calibri" w:cs="Calibri" w:eastAsia="Calibri" w:hAnsi="Calibri"/>
                <w:b/>
                <w:bCs/>
                <w:color w:val="FFFFFF"/>
                <w:sz w:val="20"/>
                <w:szCs w:val="20"/>
              </w:rPr>
              <w:t xml:space="preserve">Contracts / Sub-contracts</w:t>
            </w:r>
          </w:p>
        </w:tc>
      </w:tr>
      <w:tr>
        <w:tc>
          <w:tcPr>
            <w:tcW w:type="dxa" w:w="220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 50,000</w:t>
            </w:r>
          </w:p>
        </w:tc>
        <w:tc>
          <w:tcPr>
            <w:tcW w:type="dxa" w:w="230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Dept. Head</w:t>
            </w:r>
          </w:p>
        </w:tc>
        <w:tc>
          <w:tcPr>
            <w:tcW w:type="dxa" w:w="230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Not applicable</w:t>
            </w:r>
          </w:p>
        </w:tc>
        <w:tc>
          <w:tcPr>
            <w:tcW w:type="dxa" w:w="256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Dept. Head + BU Proc.</w:t>
            </w:r>
          </w:p>
        </w:tc>
      </w:tr>
      <w:tr>
        <w:tc>
          <w:tcPr>
            <w:tcW w:type="dxa" w:w="22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50,001 – 250,000</w:t>
            </w:r>
          </w:p>
        </w:tc>
        <w:tc>
          <w:tcPr>
            <w:tcW w:type="dxa" w:w="23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Dept. Head + BU Head</w:t>
            </w:r>
          </w:p>
        </w:tc>
        <w:tc>
          <w:tcPr>
            <w:tcW w:type="dxa" w:w="23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BU Head</w:t>
            </w:r>
          </w:p>
        </w:tc>
        <w:tc>
          <w:tcPr>
            <w:tcW w:type="dxa" w:w="2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BU Head + GSC</w:t>
            </w:r>
          </w:p>
        </w:tc>
      </w:tr>
      <w:tr>
        <w:tc>
          <w:tcPr>
            <w:tcW w:type="dxa" w:w="220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250,001 – 1,000,000</w:t>
            </w:r>
          </w:p>
        </w:tc>
        <w:tc>
          <w:tcPr>
            <w:tcW w:type="dxa" w:w="230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BU Head + CFO</w:t>
            </w:r>
          </w:p>
        </w:tc>
        <w:tc>
          <w:tcPr>
            <w:tcW w:type="dxa" w:w="230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BU Head + CFO</w:t>
            </w:r>
          </w:p>
        </w:tc>
        <w:tc>
          <w:tcPr>
            <w:tcW w:type="dxa" w:w="256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GSC + CFO</w:t>
            </w:r>
          </w:p>
        </w:tc>
      </w:tr>
      <w:tr>
        <w:tc>
          <w:tcPr>
            <w:tcW w:type="dxa" w:w="22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1,000,001 – 5,000,000</w:t>
            </w:r>
          </w:p>
        </w:tc>
        <w:tc>
          <w:tcPr>
            <w:tcW w:type="dxa" w:w="23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CFO + CEO</w:t>
            </w:r>
          </w:p>
        </w:tc>
        <w:tc>
          <w:tcPr>
            <w:tcW w:type="dxa" w:w="23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CFO + CEO</w:t>
            </w:r>
          </w:p>
        </w:tc>
        <w:tc>
          <w:tcPr>
            <w:tcW w:type="dxa" w:w="2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CFO + CEO</w:t>
            </w:r>
          </w:p>
        </w:tc>
      </w:tr>
      <w:tr>
        <w:tc>
          <w:tcPr>
            <w:tcW w:type="dxa" w:w="220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&gt; 5,000,000</w:t>
            </w:r>
          </w:p>
        </w:tc>
        <w:tc>
          <w:tcPr>
            <w:tcW w:type="dxa" w:w="230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CEO + Board</w:t>
            </w:r>
          </w:p>
        </w:tc>
        <w:tc>
          <w:tcPr>
            <w:tcW w:type="dxa" w:w="230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CEO + Board</w:t>
            </w:r>
          </w:p>
        </w:tc>
        <w:tc>
          <w:tcPr>
            <w:tcW w:type="dxa" w:w="256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CEO + Board</w:t>
            </w:r>
          </w:p>
        </w:tc>
      </w:tr>
    </w:tbl>
    <w:p>
      <w:pPr>
        <w:pStyle w:val="Heading1"/>
        <w:pBdr>
          <w:bottom w:val="single" w:color="1F3864" w:sz="18" w:space="4"/>
        </w:pBdr>
        <w:spacing w:after="160" w:before="320"/>
      </w:pPr>
      <w:r>
        <w:rPr>
          <w:rFonts w:ascii="Calibri" w:cs="Calibri" w:eastAsia="Calibri" w:hAnsi="Calibri"/>
          <w:b/>
          <w:bCs/>
          <w:color w:val="1F3864"/>
          <w:sz w:val="30"/>
          <w:szCs w:val="30"/>
        </w:rPr>
        <w:t xml:space="preserve">5. Mandatory Budget Check</w:t>
      </w:r>
    </w:p>
    <w:p>
      <w:pPr>
        <w:spacing w:after="60" w:before="60" w:line="290"/>
        <w:jc w:val="both"/>
      </w:pPr>
      <w:r>
        <w:rPr>
          <w:rFonts w:ascii="Calibri" w:cs="Calibri" w:eastAsia="Calibri" w:hAnsi="Calibri"/>
          <w:color w:val="222222"/>
          <w:sz w:val="22"/>
          <w:szCs w:val="22"/>
        </w:rPr>
        <w:t xml:space="preserve">No PR may proceed without a system-enforced budget availability check against the approved annual plan. PRs that fail the budget check are blocked and require formal re-budgeting or CFO exception approval.</w:t>
      </w:r>
    </w:p>
    <w:p>
      <w:pPr>
        <w:pStyle w:val="Heading1"/>
        <w:pBdr>
          <w:bottom w:val="single" w:color="1F3864" w:sz="18" w:space="4"/>
        </w:pBdr>
        <w:spacing w:after="160" w:before="320"/>
      </w:pPr>
      <w:r>
        <w:rPr>
          <w:rFonts w:ascii="Calibri" w:cs="Calibri" w:eastAsia="Calibri" w:hAnsi="Calibri"/>
          <w:b/>
          <w:bCs/>
          <w:color w:val="1F3864"/>
          <w:sz w:val="30"/>
          <w:szCs w:val="30"/>
        </w:rPr>
        <w:t xml:space="preserve">6. Demand Aggregation &amp; Framework Agreements</w:t>
      </w:r>
    </w:p>
    <w:p>
      <w:pPr>
        <w:spacing w:after="60" w:before="60" w:line="290"/>
        <w:jc w:val="both"/>
      </w:pPr>
      <w:r>
        <w:rPr>
          <w:rFonts w:ascii="Calibri" w:cs="Calibri" w:eastAsia="Calibri" w:hAnsi="Calibri"/>
          <w:color w:val="222222"/>
          <w:sz w:val="22"/>
          <w:szCs w:val="22"/>
        </w:rPr>
        <w:t xml:space="preserve">GSC shall aggregate recurring demand into framework agreements to capture volume discounts and reduce transaction cost. BU Procurement shall check for an existing framework before initiating any new sourcing event. Call-offs against frameworks do not require re-tender.</w:t>
      </w:r>
    </w:p>
    <w:p>
      <w:pPr>
        <w:pStyle w:val="Heading1"/>
        <w:pBdr>
          <w:bottom w:val="single" w:color="1F3864" w:sz="18" w:space="4"/>
        </w:pBdr>
        <w:spacing w:after="160" w:before="320"/>
      </w:pPr>
      <w:r>
        <w:rPr>
          <w:rFonts w:ascii="Calibri" w:cs="Calibri" w:eastAsia="Calibri" w:hAnsi="Calibri"/>
          <w:b/>
          <w:bCs/>
          <w:color w:val="1F3864"/>
          <w:sz w:val="30"/>
          <w:szCs w:val="30"/>
        </w:rPr>
        <w:t xml:space="preserve">7. Emergency Purchase Requisitions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961" w:sz="24" w:space="0"/>
              <w:left w:val="single" w:color="BFBFBF" w:sz="4"/>
              <w:bottom w:val="single" w:color="BFBFBF" w:sz="4"/>
              <w:right w:val="single" w:color="BFBFBF" w:sz="4"/>
            </w:tcBorders>
            <w:shd w:fill="F2F5FB" w:val="clear"/>
            <w:tcMar>
              <w:top w:type="dxa" w:w="160"/>
              <w:left w:type="dxa" w:w="200"/>
              <w:bottom w:type="dxa" w:w="160"/>
              <w:right w:type="dxa" w:w="200"/>
            </w:tcMar>
          </w:tcPr>
          <w:p>
            <w:r>
              <w:rPr>
                <w:rFonts w:ascii="Calibri" w:cs="Calibri" w:eastAsia="Calibri" w:hAnsi="Calibri"/>
                <w:b/>
                <w:bCs/>
                <w:color w:val="1F3864"/>
                <w:sz w:val="20"/>
                <w:szCs w:val="20"/>
              </w:rPr>
              <w:t xml:space="preserve">EMERGENCY DEFINITION</w:t>
            </w:r>
          </w:p>
          <w:p>
            <w:pPr>
              <w:spacing w:before="80"/>
            </w:pPr>
            <w:r>
              <w:rPr>
                <w:rFonts w:ascii="Calibri" w:cs="Calibri" w:eastAsia="Calibri" w:hAnsi="Calibri"/>
                <w:color w:val="333333"/>
                <w:sz w:val="20"/>
                <w:szCs w:val="20"/>
              </w:rPr>
              <w:t xml:space="preserve">An Emergency PR is limited to situations involving imminent risk to life, safety, critical operations, or regulatory non-compliance that cannot be managed through the standard process. It is NOT a shortcut for poor planning.</w:t>
            </w:r>
          </w:p>
        </w:tc>
      </w:tr>
    </w:tbl>
    <w:p>
      <w:pPr>
        <w:spacing w:after="60" w:before="60" w:line="290"/>
        <w:jc w:val="both"/>
      </w:pPr>
      <w:r>
        <w:rPr>
          <w:rFonts w:ascii="Calibri" w:cs="Calibri" w:eastAsia="Calibri" w:hAnsi="Calibri"/>
          <w:color w:val="222222"/>
          <w:sz w:val="22"/>
          <w:szCs w:val="22"/>
        </w:rPr>
        <w:t xml:space="preserve">Emergency PRs require written justification and post-facto ratification by the BU Head and GSC. Emergency PRs shall not exceed 5% of a BU's annual procurement spend — breach of this KPI triggers a formal review by the CFO.</w:t>
      </w:r>
    </w:p>
    <w:p>
      <w:pPr>
        <w:pStyle w:val="Heading1"/>
        <w:pBdr>
          <w:bottom w:val="single" w:color="1F3864" w:sz="18" w:space="4"/>
        </w:pBdr>
        <w:spacing w:after="160" w:before="320"/>
      </w:pPr>
      <w:r>
        <w:rPr>
          <w:rFonts w:ascii="Calibri" w:cs="Calibri" w:eastAsia="Calibri" w:hAnsi="Calibri"/>
          <w:b/>
          <w:bCs/>
          <w:color w:val="1F3864"/>
          <w:sz w:val="30"/>
          <w:szCs w:val="30"/>
        </w:rPr>
        <w:t xml:space="preserve">8. Conflict of Interest Declaration</w:t>
      </w:r>
    </w:p>
    <w:p>
      <w:pPr>
        <w:spacing w:after="60" w:before="60" w:line="290"/>
        <w:jc w:val="both"/>
      </w:pPr>
      <w:r>
        <w:rPr>
          <w:rFonts w:ascii="Calibri" w:cs="Calibri" w:eastAsia="Calibri" w:hAnsi="Calibri"/>
          <w:color w:val="222222"/>
          <w:sz w:val="22"/>
          <w:szCs w:val="22"/>
        </w:rPr>
        <w:t xml:space="preserve">Every Requestor and approver must confirm, on each PR, that no conflict of interest exists with the intended supplier(s). Declared conflicts are escalated to Compliance and the requestor is recused from the transaction.</w:t>
      </w:r>
    </w:p>
    <w:p>
      <w:pPr>
        <w:pStyle w:val="Heading1"/>
        <w:pBdr>
          <w:bottom w:val="single" w:color="1F3864" w:sz="18" w:space="4"/>
        </w:pBdr>
        <w:spacing w:after="160" w:before="320"/>
      </w:pPr>
      <w:r>
        <w:rPr>
          <w:rFonts w:ascii="Calibri" w:cs="Calibri" w:eastAsia="Calibri" w:hAnsi="Calibri"/>
          <w:b/>
          <w:bCs/>
          <w:color w:val="1F3864"/>
          <w:sz w:val="30"/>
          <w:szCs w:val="30"/>
        </w:rPr>
        <w:t xml:space="preserve">9. Flowcharts</w:t>
      </w:r>
    </w:p>
    <w:p>
      <w:pPr>
        <w:pStyle w:val="Heading2"/>
        <w:spacing w:after="100" w:before="220"/>
      </w:pPr>
      <w:r>
        <w:rPr>
          <w:rFonts w:ascii="Calibri" w:cs="Calibri" w:eastAsia="Calibri" w:hAnsi="Calibri"/>
          <w:b/>
          <w:bCs/>
          <w:color w:val="2E75B6"/>
          <w:sz w:val="26"/>
          <w:szCs w:val="26"/>
        </w:rPr>
        <w:t xml:space="preserve">9.1 OPEX Purchase Requisition</w:t>
      </w:r>
    </w:p>
    <w:p>
      <w:pPr>
        <w:spacing w:after="80" w:before="200"/>
        <w:jc w:val="center"/>
      </w:pPr>
      <w:r>
        <w:drawing>
          <wp:inline distT="0" distB="0" distL="0" distR="0">
            <wp:extent cx="4953000" cy="6477000"/>
            <wp:effectExtent t="0" r="0" b="0" l="0"/>
            <wp:docPr id="1" name="Figure 1: OPEX Purchase Requisition Workflow" descr="Figure 1: OPEX Purchase Requisition Workflow" title="Figure 1: OPEX Purchase Requisition Work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4953000" cy="6477000"/>
                    </a:xfrm>
                    <a:prstGeom prst="rect">
                      <a:avLst/>
                    </a:prstGeom>
                  </pic:spPr>
                </pic:pic>
              </a:graphicData>
            </a:graphic>
          </wp:inline>
        </w:drawing>
      </w:r>
    </w:p>
    <w:p>
      <w:pPr>
        <w:spacing w:after="200"/>
        <w:jc w:val="center"/>
      </w:pPr>
      <w:r>
        <w:rPr>
          <w:rFonts w:ascii="Calibri" w:cs="Calibri" w:eastAsia="Calibri" w:hAnsi="Calibri"/>
          <w:i/>
          <w:iCs/>
          <w:color w:val="6B7280"/>
          <w:sz w:val="18"/>
          <w:szCs w:val="18"/>
        </w:rPr>
        <w:t xml:space="preserve">Figure 1: OPEX Purchase Requisition Workflow</w:t>
      </w:r>
    </w:p>
    <w:p>
      <w:pPr>
        <w:pStyle w:val="Heading2"/>
        <w:spacing w:after="100" w:before="220"/>
      </w:pPr>
      <w:r>
        <w:rPr>
          <w:rFonts w:ascii="Calibri" w:cs="Calibri" w:eastAsia="Calibri" w:hAnsi="Calibri"/>
          <w:b/>
          <w:bCs/>
          <w:color w:val="2E75B6"/>
          <w:sz w:val="26"/>
          <w:szCs w:val="26"/>
        </w:rPr>
        <w:t xml:space="preserve">9.2 CAPEX Purchase Requisition</w:t>
      </w:r>
    </w:p>
    <w:p>
      <w:pPr>
        <w:spacing w:after="80" w:before="200"/>
        <w:jc w:val="center"/>
      </w:pPr>
      <w:r>
        <w:drawing>
          <wp:inline distT="0" distB="0" distL="0" distR="0">
            <wp:extent cx="4953000" cy="6477000"/>
            <wp:effectExtent t="0" r="0" b="0" l="0"/>
            <wp:docPr id="1" name="Figure 2: CAPEX Purchase Requisition Workflow" descr="Figure 2: CAPEX Purchase Requisition Workflow" title="Figure 2: CAPEX Purchase Requisition Work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4953000" cy="6477000"/>
                    </a:xfrm>
                    <a:prstGeom prst="rect">
                      <a:avLst/>
                    </a:prstGeom>
                  </pic:spPr>
                </pic:pic>
              </a:graphicData>
            </a:graphic>
          </wp:inline>
        </w:drawing>
      </w:r>
    </w:p>
    <w:p>
      <w:pPr>
        <w:spacing w:after="200"/>
        <w:jc w:val="center"/>
      </w:pPr>
      <w:r>
        <w:rPr>
          <w:rFonts w:ascii="Calibri" w:cs="Calibri" w:eastAsia="Calibri" w:hAnsi="Calibri"/>
          <w:i/>
          <w:iCs/>
          <w:color w:val="6B7280"/>
          <w:sz w:val="18"/>
          <w:szCs w:val="18"/>
        </w:rPr>
        <w:t xml:space="preserve">Figure 2: CAPEX Purchase Requisition Workflow</w:t>
      </w:r>
    </w:p>
    <w:p>
      <w:pPr>
        <w:pStyle w:val="Heading2"/>
        <w:spacing w:after="100" w:before="220"/>
      </w:pPr>
      <w:r>
        <w:rPr>
          <w:rFonts w:ascii="Calibri" w:cs="Calibri" w:eastAsia="Calibri" w:hAnsi="Calibri"/>
          <w:b/>
          <w:bCs/>
          <w:color w:val="2E75B6"/>
          <w:sz w:val="26"/>
          <w:szCs w:val="26"/>
        </w:rPr>
        <w:t xml:space="preserve">9.3 Contracts Requisition</w:t>
      </w:r>
    </w:p>
    <w:p>
      <w:pPr>
        <w:spacing w:after="80" w:before="200"/>
        <w:jc w:val="center"/>
      </w:pPr>
      <w:r>
        <w:drawing>
          <wp:inline distT="0" distB="0" distL="0" distR="0">
            <wp:extent cx="4953000" cy="6477000"/>
            <wp:effectExtent t="0" r="0" b="0" l="0"/>
            <wp:docPr id="1" name="Figure 3: Contracts Requisition Workflow" descr="Figure 3: Contracts Requisition Workflow" title="Figure 3: Contracts Requisition Work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4953000" cy="6477000"/>
                    </a:xfrm>
                    <a:prstGeom prst="rect">
                      <a:avLst/>
                    </a:prstGeom>
                  </pic:spPr>
                </pic:pic>
              </a:graphicData>
            </a:graphic>
          </wp:inline>
        </w:drawing>
      </w:r>
    </w:p>
    <w:p>
      <w:pPr>
        <w:spacing w:after="200"/>
        <w:jc w:val="center"/>
      </w:pPr>
      <w:r>
        <w:rPr>
          <w:rFonts w:ascii="Calibri" w:cs="Calibri" w:eastAsia="Calibri" w:hAnsi="Calibri"/>
          <w:i/>
          <w:iCs/>
          <w:color w:val="6B7280"/>
          <w:sz w:val="18"/>
          <w:szCs w:val="18"/>
        </w:rPr>
        <w:t xml:space="preserve">Figure 3: Contracts Requisition Workflow</w:t>
      </w:r>
    </w:p>
    <w:p>
      <w:pPr>
        <w:pStyle w:val="Heading2"/>
        <w:spacing w:after="100" w:before="220"/>
      </w:pPr>
      <w:r>
        <w:rPr>
          <w:rFonts w:ascii="Calibri" w:cs="Calibri" w:eastAsia="Calibri" w:hAnsi="Calibri"/>
          <w:b/>
          <w:bCs/>
          <w:color w:val="2E75B6"/>
          <w:sz w:val="26"/>
          <w:szCs w:val="26"/>
        </w:rPr>
        <w:t xml:space="preserve">9.4 Sub-contracts Requisition</w:t>
      </w:r>
    </w:p>
    <w:p>
      <w:pPr>
        <w:spacing w:after="80" w:before="200"/>
        <w:jc w:val="center"/>
      </w:pPr>
      <w:r>
        <w:drawing>
          <wp:inline distT="0" distB="0" distL="0" distR="0">
            <wp:extent cx="4953000" cy="6477000"/>
            <wp:effectExtent t="0" r="0" b="0" l="0"/>
            <wp:docPr id="1" name="Figure 4: Sub-contracts Requisition Workflow" descr="Figure 4: Sub-contracts Requisition Workflow" title="Figure 4: Sub-contracts Requisition Work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4953000" cy="6477000"/>
                    </a:xfrm>
                    <a:prstGeom prst="rect">
                      <a:avLst/>
                    </a:prstGeom>
                  </pic:spPr>
                </pic:pic>
              </a:graphicData>
            </a:graphic>
          </wp:inline>
        </w:drawing>
      </w:r>
    </w:p>
    <w:p>
      <w:pPr>
        <w:spacing w:after="200"/>
        <w:jc w:val="center"/>
      </w:pPr>
      <w:r>
        <w:rPr>
          <w:rFonts w:ascii="Calibri" w:cs="Calibri" w:eastAsia="Calibri" w:hAnsi="Calibri"/>
          <w:i/>
          <w:iCs/>
          <w:color w:val="6B7280"/>
          <w:sz w:val="18"/>
          <w:szCs w:val="18"/>
        </w:rPr>
        <w:t xml:space="preserve">Figure 4: Sub-contracts Requisition Workflow</w:t>
      </w:r>
    </w:p>
    <w:p>
      <w:pPr>
        <w:pStyle w:val="Heading1"/>
        <w:pBdr>
          <w:bottom w:val="single" w:color="1F3864" w:sz="18" w:space="4"/>
        </w:pBdr>
        <w:spacing w:after="160" w:before="320"/>
      </w:pPr>
      <w:r>
        <w:rPr>
          <w:rFonts w:ascii="Calibri" w:cs="Calibri" w:eastAsia="Calibri" w:hAnsi="Calibri"/>
          <w:b/>
          <w:bCs/>
          <w:color w:val="1F3864"/>
          <w:sz w:val="30"/>
          <w:szCs w:val="30"/>
        </w:rPr>
        <w:t xml:space="preserve">10. Definitions &amp; Acronyms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rPr>
          <w:tblHeader/>
        </w:trPr>
        <w:tc>
          <w:tcPr>
            <w:tcW w:type="dxa" w:w="220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jc w:val="left"/>
            </w:pPr>
            <w:r>
              <w:rPr>
                <w:rFonts w:ascii="Calibri" w:cs="Calibri" w:eastAsia="Calibri" w:hAnsi="Calibri"/>
                <w:b/>
                <w:bCs/>
                <w:color w:val="FFFFFF"/>
                <w:sz w:val="20"/>
                <w:szCs w:val="20"/>
              </w:rPr>
              <w:t xml:space="preserve">Acronym / Term</w:t>
            </w:r>
          </w:p>
        </w:tc>
        <w:tc>
          <w:tcPr>
            <w:tcW w:type="dxa" w:w="716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jc w:val="left"/>
            </w:pPr>
            <w:r>
              <w:rPr>
                <w:rFonts w:ascii="Calibri" w:cs="Calibri" w:eastAsia="Calibri" w:hAnsi="Calibri"/>
                <w:b/>
                <w:bCs/>
                <w:color w:val="FFFFFF"/>
                <w:sz w:val="20"/>
                <w:szCs w:val="20"/>
              </w:rPr>
              <w:t xml:space="preserve">Definition</w:t>
            </w:r>
          </w:p>
        </w:tc>
      </w:tr>
      <w:tr>
        <w:tc>
          <w:tcPr>
            <w:tcW w:type="dxa" w:w="220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BU</w:t>
            </w:r>
          </w:p>
        </w:tc>
        <w:tc>
          <w:tcPr>
            <w:tcW w:type="dxa" w:w="716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Business Unit</w:t>
            </w:r>
          </w:p>
        </w:tc>
      </w:tr>
      <w:tr>
        <w:tc>
          <w:tcPr>
            <w:tcW w:type="dxa" w:w="22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CAPEX</w:t>
            </w:r>
          </w:p>
        </w:tc>
        <w:tc>
          <w:tcPr>
            <w:tcW w:type="dxa" w:w="7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Capital Expenditure</w:t>
            </w:r>
          </w:p>
        </w:tc>
      </w:tr>
      <w:tr>
        <w:tc>
          <w:tcPr>
            <w:tcW w:type="dxa" w:w="220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COI</w:t>
            </w:r>
          </w:p>
        </w:tc>
        <w:tc>
          <w:tcPr>
            <w:tcW w:type="dxa" w:w="716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Conflict of Interest</w:t>
            </w:r>
          </w:p>
        </w:tc>
      </w:tr>
      <w:tr>
        <w:tc>
          <w:tcPr>
            <w:tcW w:type="dxa" w:w="22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DOA</w:t>
            </w:r>
          </w:p>
        </w:tc>
        <w:tc>
          <w:tcPr>
            <w:tcW w:type="dxa" w:w="7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Delegation of Authority</w:t>
            </w:r>
          </w:p>
        </w:tc>
      </w:tr>
      <w:tr>
        <w:tc>
          <w:tcPr>
            <w:tcW w:type="dxa" w:w="220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ERP</w:t>
            </w:r>
          </w:p>
        </w:tc>
        <w:tc>
          <w:tcPr>
            <w:tcW w:type="dxa" w:w="716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Enterprise Resource Planning</w:t>
            </w:r>
          </w:p>
        </w:tc>
      </w:tr>
      <w:tr>
        <w:tc>
          <w:tcPr>
            <w:tcW w:type="dxa" w:w="22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GSC</w:t>
            </w:r>
          </w:p>
        </w:tc>
        <w:tc>
          <w:tcPr>
            <w:tcW w:type="dxa" w:w="7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Group Supply Chain</w:t>
            </w:r>
          </w:p>
        </w:tc>
      </w:tr>
      <w:tr>
        <w:tc>
          <w:tcPr>
            <w:tcW w:type="dxa" w:w="220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KPI</w:t>
            </w:r>
          </w:p>
        </w:tc>
        <w:tc>
          <w:tcPr>
            <w:tcW w:type="dxa" w:w="716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Key Performance Indicator</w:t>
            </w:r>
          </w:p>
        </w:tc>
      </w:tr>
      <w:tr>
        <w:tc>
          <w:tcPr>
            <w:tcW w:type="dxa" w:w="22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OPEX</w:t>
            </w:r>
          </w:p>
        </w:tc>
        <w:tc>
          <w:tcPr>
            <w:tcW w:type="dxa" w:w="7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Operating Expenditure</w:t>
            </w:r>
          </w:p>
        </w:tc>
      </w:tr>
      <w:tr>
        <w:tc>
          <w:tcPr>
            <w:tcW w:type="dxa" w:w="220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Oracle</w:t>
            </w:r>
          </w:p>
        </w:tc>
        <w:tc>
          <w:tcPr>
            <w:tcW w:type="dxa" w:w="716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Enterprise Resource Planning System</w:t>
            </w:r>
          </w:p>
        </w:tc>
      </w:tr>
      <w:tr>
        <w:tc>
          <w:tcPr>
            <w:tcW w:type="dxa" w:w="22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PR</w:t>
            </w:r>
          </w:p>
        </w:tc>
        <w:tc>
          <w:tcPr>
            <w:tcW w:type="dxa" w:w="7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Purchase Requisition</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F3864" w:sz="6" w:space="4"/>
      </w:pBdr>
      <w:tabs>
        <w:tab w:val="right" w:pos="9026"/>
      </w:tabs>
    </w:pPr>
    <w:r>
      <w:rPr>
        <w:rFonts w:ascii="Calibri" w:cs="Calibri" w:eastAsia="Calibri" w:hAnsi="Calibri"/>
        <w:color w:val="1F3864"/>
        <w:sz w:val="18"/>
        <w:szCs w:val="18"/>
      </w:rPr>
      <w:t xml:space="preserve">P-POL-002  |  Effective: 08 April 2026</w:t>
    </w:r>
    <w:r>
      <w:rPr>
        <w:rFonts w:ascii="Calibri" w:cs="Calibri" w:eastAsia="Calibri" w:hAnsi="Calibri"/>
        <w:color w:val="6B7280"/>
        <w:sz w:val="18"/>
        <w:szCs w:val="18"/>
      </w:rPr>
      <w:t xml:space="preserve">	Page </w:t>
    </w:r>
    <w:r>
      <w:rPr>
        <w:rFonts w:ascii="Calibri" w:cs="Calibri" w:eastAsia="Calibri" w:hAnsi="Calibri"/>
        <w:color w:val="6B7280"/>
        <w:sz w:val="18"/>
        <w:szCs w:val="18"/>
      </w:rPr>
      <w:fldChar w:fldCharType="begin"/>
      <w:instrText xml:space="preserve">PAGE</w:instrText>
      <w:fldChar w:fldCharType="separate"/>
      <w:fldChar w:fldCharType="end"/>
    </w:r>
    <w:r>
      <w:rPr>
        <w:rFonts w:ascii="Calibri" w:cs="Calibri" w:eastAsia="Calibri" w:hAnsi="Calibri"/>
        <w:color w:val="6B7280"/>
        <w:sz w:val="18"/>
        <w:szCs w:val="18"/>
      </w:rPr>
      <w:t xml:space="preserve"> of </w:t>
    </w:r>
    <w:r>
      <w:rPr>
        <w:rFonts w:ascii="Calibri" w:cs="Calibri" w:eastAsia="Calibri" w:hAnsi="Calibri"/>
        <w:color w:val="6B72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none"/>
        <w:left w:val="none"/>
        <w:bottom w:val="single" w:color="1F3864" w:sz="6"/>
        <w:right w:val="none"/>
        <w:insideH w:val="none"/>
        <w:insideV w:val="none"/>
      </w:tblBorders>
    </w:tblPr>
    <w:tblGrid>
      <w:gridCol w:w="4200"/>
      <w:gridCol w:w="3000"/>
      <w:gridCol w:w="2160"/>
    </w:tblGrid>
    <w:tr>
      <w:tc>
        <w:tcPr>
          <w:tcW w:type="dxa" w:w="4200"/>
          <w:tcBorders>
            <w:top w:val="none"/>
            <w:left w:val="none"/>
            <w:bottom w:val="single" w:color="1F3864" w:sz="6"/>
            <w:right w:val="none"/>
          </w:tcBorders>
        </w:tcPr>
        <w:p>
          <w:r>
            <w:rPr>
              <w:rFonts w:ascii="Calibri" w:cs="Calibri" w:eastAsia="Calibri" w:hAnsi="Calibri"/>
              <w:b/>
              <w:bCs/>
              <w:color w:val="1F3864"/>
              <w:sz w:val="18"/>
              <w:szCs w:val="18"/>
            </w:rPr>
            <w:t xml:space="preserve">Bukhatir Group | Group Supply Chain</w:t>
          </w:r>
        </w:p>
      </w:tc>
      <w:tc>
        <w:tcPr>
          <w:tcW w:type="dxa" w:w="3000"/>
          <w:tcBorders>
            <w:top w:val="none"/>
            <w:left w:val="none"/>
            <w:bottom w:val="single" w:color="1F3864" w:sz="6"/>
            <w:right w:val="none"/>
          </w:tcBorders>
        </w:tcPr>
        <w:p>
          <w:pPr>
            <w:jc w:val="center"/>
          </w:pPr>
          <w:r>
            <w:rPr>
              <w:rFonts w:ascii="Calibri" w:cs="Calibri" w:eastAsia="Calibri" w:hAnsi="Calibri"/>
              <w:b/>
              <w:bCs/>
              <w:color w:val="2E75B6"/>
              <w:sz w:val="18"/>
              <w:szCs w:val="18"/>
            </w:rPr>
            <w:t xml:space="preserve">Purchase Requisition</w:t>
          </w:r>
        </w:p>
      </w:tc>
      <w:tc>
        <w:tcPr>
          <w:tcW w:type="dxa" w:w="2160"/>
          <w:tcBorders>
            <w:top w:val="none"/>
            <w:left w:val="none"/>
            <w:bottom w:val="single" w:color="1F3864" w:sz="6"/>
            <w:right w:val="none"/>
          </w:tcBorders>
        </w:tcPr>
        <w:p>
          <w:pPr>
            <w:jc w:val="right"/>
          </w:pPr>
          <w:r>
            <w:rPr>
              <w:rFonts w:ascii="Calibri" w:cs="Calibri" w:eastAsia="Calibri" w:hAnsi="Calibri"/>
              <w:color w:val="6B7280"/>
              <w:sz w:val="18"/>
              <w:szCs w:val="18"/>
            </w:rPr>
            <w:t xml:space="preserve">Ver 0.4 | 08 APR 2026</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abstractNum w:abstractNumId="3" w15:restartNumberingAfterBreak="0">
    <w:multiLevelType w:val="hybridMultilevel"/>
    <w:lvl w:ilvl="0" w15:tentative="1">
      <w:start w:val="1"/>
      <w:numFmt w:val="decimal"/>
      <w:lvlText w:val="%1."/>
      <w:lvlJc w:val="left"/>
      <w:pPr>
        <w:ind w:left="5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Calibri" w:cs="Calibri" w:eastAsia="Calibri" w:hAnsi="Calibri"/>
      <w:b/>
      <w:bCs/>
      <w:color w:val="1F3864"/>
      <w:sz w:val="32"/>
      <w:szCs w:val="32"/>
    </w:rPr>
  </w:style>
  <w:style w:type="paragraph" w:styleId="Heading2">
    <w:name w:val="Heading 2"/>
    <w:basedOn w:val="Normal"/>
    <w:next w:val="Normal"/>
    <w:qFormat/>
    <w:pPr>
      <w:spacing w:after="100" w:before="220"/>
      <w:outlineLvl w:val="1"/>
    </w:pPr>
    <w:rPr>
      <w:rFonts w:ascii="Calibri" w:cs="Calibri" w:eastAsia="Calibri" w:hAnsi="Calibri"/>
      <w:b/>
      <w:bCs/>
      <w:color w:val="2E75B6"/>
      <w:sz w:val="28"/>
      <w:szCs w:val="28"/>
    </w:rPr>
  </w:style>
  <w:style w:type="paragraph" w:styleId="Heading3">
    <w:name w:val="Heading 3"/>
    <w:basedOn w:val="Normal"/>
    <w:next w:val="Normal"/>
    <w:qFormat/>
    <w:pPr>
      <w:spacing w:after="80" w:before="160"/>
      <w:outlineLvl w:val="2"/>
    </w:pPr>
    <w:rPr>
      <w:rFonts w:ascii="Calibri" w:cs="Calibri" w:eastAsia="Calibri" w:hAnsi="Calibri"/>
      <w:b/>
      <w:bCs/>
      <w:color w:val="1F386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0ab3afa3814596f3099b634d2918c9ee69e73e7a.png"/><Relationship Id="rId10" Type="http://schemas.openxmlformats.org/officeDocument/2006/relationships/image" Target="media/77be9f07bde7b6377975d256929081db041ca5d9.png"/><Relationship Id="rId11" Type="http://schemas.openxmlformats.org/officeDocument/2006/relationships/image" Target="media/e94006090ab003796fca652ac2b574ae0f60c380.png"/><Relationship Id="rId12" Type="http://schemas.openxmlformats.org/officeDocument/2006/relationships/image" Target="media/3b4facd0c1ac0e4b5f35f910352c7f44819adaca.png"/><Relationship Id="rId13"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Requisition - P-POL-002</dc:title>
  <dc:creator>Bukhatir Group - Group Supply Chain</dc:creator>
  <cp:lastModifiedBy>Un-named</cp:lastModifiedBy>
  <cp:revision>1</cp:revision>
  <dcterms:created xsi:type="dcterms:W3CDTF">2026-04-14T11:25:18.894Z</dcterms:created>
  <dcterms:modified xsi:type="dcterms:W3CDTF">2026-04-14T11:25:18.894Z</dcterms:modified>
</cp:coreProperties>
</file>

<file path=docProps/custom.xml><?xml version="1.0" encoding="utf-8"?>
<Properties xmlns="http://schemas.openxmlformats.org/officeDocument/2006/custom-properties" xmlns:vt="http://schemas.openxmlformats.org/officeDocument/2006/docPropsVTypes"/>
</file>