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600"/>
        <w:gridCol w:w="2600"/>
        <w:gridCol w:w="4160"/>
      </w:tblGrid>
      <w:tr>
        <w:tc>
          <w:tcPr>
            <w:tcW w:type="dxa" w:w="2600"/>
            <w:tcBorders>
              <w:top w:val="single" w:color="BFBFBF" w:sz="4"/>
              <w:left w:val="single" w:color="BFBFBF" w:sz="4"/>
              <w:bottom w:val="single" w:color="BFBFBF" w:sz="4"/>
              <w:right w:val="single" w:color="BFBFBF" w:sz="4"/>
            </w:tcBorders>
            <w:shd w:fill="2E75B6"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Group Policy &amp; Procedure</w:t>
            </w:r>
          </w:p>
        </w:tc>
        <w:tc>
          <w:tcPr>
            <w:tcW w:type="dxa" w:w="26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Document No.</w:t>
            </w:r>
          </w:p>
        </w:tc>
        <w:tc>
          <w:tcPr>
            <w:tcW w:type="dxa" w:w="4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bCs/>
                <w:color w:val="222222"/>
                <w:sz w:val="20"/>
                <w:szCs w:val="20"/>
              </w:rPr>
              <w:t xml:space="preserve">P-POL-001</w:t>
            </w:r>
          </w:p>
        </w:tc>
      </w:tr>
      <w:tr>
        <w:tc>
          <w:tcPr>
            <w:tcW w:type="dxa" w:w="2600"/>
            <w:tcBorders>
              <w:top w:val="single" w:color="BFBFBF" w:sz="4"/>
              <w:left w:val="single" w:color="BFBFBF" w:sz="4"/>
              <w:bottom w:val="single" w:color="BFBFBF" w:sz="4"/>
              <w:right w:val="single" w:color="BFBFBF" w:sz="4"/>
            </w:tcBorders>
            <w:shd w:fill="2E75B6"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Group Supply Chain</w:t>
            </w:r>
          </w:p>
        </w:tc>
        <w:tc>
          <w:tcPr>
            <w:tcW w:type="dxa" w:w="26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Ver. No. | Rev Date</w:t>
            </w:r>
          </w:p>
        </w:tc>
        <w:tc>
          <w:tcPr>
            <w:tcW w:type="dxa" w:w="4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0.4 | 08 APR 2026</w:t>
            </w:r>
          </w:p>
        </w:tc>
      </w:tr>
      <w:tr>
        <w:tc>
          <w:tcPr>
            <w:tcW w:type="dxa" w:w="2600"/>
            <w:tcBorders>
              <w:top w:val="single" w:color="BFBFBF" w:sz="4"/>
              <w:left w:val="single" w:color="BFBFBF" w:sz="4"/>
              <w:bottom w:val="single" w:color="BFBFBF" w:sz="4"/>
              <w:right w:val="single" w:color="BFBFBF" w:sz="4"/>
            </w:tcBorders>
            <w:shd w:fill="2E75B6"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Title: Introduction</w:t>
            </w:r>
          </w:p>
        </w:tc>
        <w:tc>
          <w:tcPr>
            <w:tcW w:type="dxa" w:w="26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Effective Date</w:t>
            </w:r>
          </w:p>
        </w:tc>
        <w:tc>
          <w:tcPr>
            <w:tcW w:type="dxa" w:w="4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08 April 2026</w:t>
            </w:r>
          </w:p>
        </w:tc>
      </w:tr>
    </w:tbl>
    <w:p>
      <w:pPr>
        <w:spacing w:after="300" w:before="300"/>
      </w:pPr>
      <w:r>
        <w:t xml:space="preserve"/>
      </w:r>
    </w:p>
    <w:p>
      <w:pPr>
        <w:shd w:fill="1F3864" w:val="clear"/>
        <w:spacing w:after="100" w:before="200"/>
        <w:jc w:val="center"/>
      </w:pPr>
      <w:r>
        <w:rPr>
          <w:rFonts w:ascii="Calibri" w:cs="Calibri" w:eastAsia="Calibri" w:hAnsi="Calibri"/>
          <w:b/>
          <w:bCs/>
          <w:color w:val="FFFFFF"/>
          <w:sz w:val="44"/>
          <w:szCs w:val="44"/>
        </w:rPr>
        <w:t xml:space="preserve">BUKHATIR GROUP</w:t>
      </w:r>
    </w:p>
    <w:p>
      <w:pPr>
        <w:shd w:fill="2E75B6" w:val="clear"/>
        <w:spacing w:after="100" w:before="0"/>
        <w:jc w:val="center"/>
      </w:pPr>
      <w:r>
        <w:rPr>
          <w:rFonts w:ascii="Calibri" w:cs="Calibri" w:eastAsia="Calibri" w:hAnsi="Calibri"/>
          <w:i/>
          <w:iCs/>
          <w:color w:val="FFFFFF"/>
          <w:sz w:val="26"/>
          <w:szCs w:val="26"/>
        </w:rPr>
        <w:t xml:space="preserve">Strength through Diversity</w:t>
      </w:r>
    </w:p>
    <w:p>
      <w:pPr>
        <w:spacing w:after="400" w:before="400"/>
      </w:pPr>
      <w:r>
        <w:t xml:space="preserve"/>
      </w:r>
    </w:p>
    <w:p>
      <w:pPr>
        <w:spacing w:after="100" w:before="400"/>
        <w:jc w:val="center"/>
      </w:pPr>
      <w:r>
        <w:rPr>
          <w:rFonts w:ascii="Calibri" w:cs="Calibri" w:eastAsia="Calibri" w:hAnsi="Calibri"/>
          <w:b/>
          <w:bCs/>
          <w:color w:val="1F3864"/>
          <w:sz w:val="40"/>
          <w:szCs w:val="40"/>
        </w:rPr>
        <w:t xml:space="preserve">Group Policy and Procedure</w:t>
      </w:r>
    </w:p>
    <w:p>
      <w:pPr>
        <w:spacing w:after="600"/>
        <w:jc w:val="center"/>
      </w:pPr>
      <w:r>
        <w:rPr>
          <w:rFonts w:ascii="Calibri" w:cs="Calibri" w:eastAsia="Calibri" w:hAnsi="Calibri"/>
          <w:color w:val="2E75B6"/>
          <w:sz w:val="30"/>
          <w:szCs w:val="30"/>
        </w:rPr>
        <w:t xml:space="preserve">Group Supply Chain (GSC)</w:t>
      </w:r>
    </w:p>
    <w:p>
      <w:pPr>
        <w:spacing w:after="200"/>
        <w:jc w:val="center"/>
      </w:pPr>
      <w:r>
        <w:rPr>
          <w:rFonts w:ascii="Calibri" w:cs="Calibri" w:eastAsia="Calibri" w:hAnsi="Calibri"/>
          <w:b/>
          <w:bCs/>
          <w:color w:val="1F3864"/>
          <w:sz w:val="44"/>
          <w:szCs w:val="44"/>
        </w:rPr>
        <w:t xml:space="preserve">Introduction</w:t>
      </w:r>
    </w:p>
    <w:p>
      <w:pPr>
        <w:spacing w:after="400"/>
        <w:jc w:val="center"/>
      </w:pPr>
      <w:r>
        <w:rPr>
          <w:rFonts w:ascii="Calibri" w:cs="Calibri" w:eastAsia="Calibri" w:hAnsi="Calibri"/>
          <w:i/>
          <w:iCs/>
          <w:color w:val="6B7280"/>
          <w:sz w:val="24"/>
          <w:szCs w:val="24"/>
        </w:rPr>
        <w:t xml:space="preserve">Framework, Principles &amp; Governance</w:t>
      </w:r>
    </w:p>
    <w:p>
      <w:pPr>
        <w:spacing w:after="600" w:before="600"/>
      </w:pPr>
      <w:r>
        <w:t xml:space="preserve"/>
      </w:r>
    </w:p>
    <w:p>
      <w:pPr>
        <w:jc w:val="center"/>
      </w:pPr>
      <w:r>
        <w:rPr>
          <w:rFonts w:ascii="Calibri" w:cs="Calibri" w:eastAsia="Calibri" w:hAnsi="Calibri"/>
          <w:b/>
          <w:bCs/>
          <w:color w:val="1F3864"/>
          <w:sz w:val="28"/>
          <w:szCs w:val="28"/>
        </w:rPr>
        <w:t xml:space="preserve">Document No: P-POL-001</w:t>
      </w:r>
    </w:p>
    <w:p>
      <w:pPr>
        <w:spacing w:after="400" w:before="400"/>
      </w:pPr>
      <w:r>
        <w:t xml:space="preserve"/>
      </w:r>
    </w:p>
    <w:p>
      <w:pPr>
        <w:pBdr>
          <w:top w:val="single" w:color="C9A961" w:sz="12"/>
        </w:pBdr>
        <w:jc w:val="center"/>
      </w:pPr>
      <w:r>
        <w:rPr>
          <w:rFonts w:ascii="Calibri" w:cs="Calibri" w:eastAsia="Calibri" w:hAnsi="Calibri"/>
          <w:color w:val="6B7280"/>
          <w:sz w:val="18"/>
          <w:szCs w:val="18"/>
        </w:rPr>
        <w:t xml:space="preserve">Copyright © 2026 Bukhatir Group</w:t>
      </w:r>
    </w:p>
    <w:p>
      <w:r>
        <w:br w:type="page"/>
      </w:r>
    </w:p>
    <w:p>
      <w:pPr>
        <w:pStyle w:val="Heading1"/>
        <w:pBdr>
          <w:bottom w:val="single" w:color="1F3864" w:sz="18" w:space="4"/>
        </w:pBdr>
        <w:spacing w:after="160" w:before="320"/>
      </w:pPr>
      <w:r>
        <w:rPr>
          <w:rFonts w:ascii="Calibri" w:cs="Calibri" w:eastAsia="Calibri" w:hAnsi="Calibri"/>
          <w:b/>
          <w:bCs/>
          <w:color w:val="1F3864"/>
          <w:sz w:val="30"/>
          <w:szCs w:val="30"/>
        </w:rPr>
        <w:t xml:space="preserve">Revision Control</w:t>
      </w:r>
    </w:p>
    <w:p>
      <w:pPr>
        <w:spacing w:after="60" w:before="60" w:line="290"/>
        <w:jc w:val="both"/>
      </w:pPr>
      <w:r>
        <w:rPr>
          <w:rFonts w:ascii="Calibri" w:cs="Calibri" w:eastAsia="Calibri" w:hAnsi="Calibri"/>
          <w:color w:val="222222"/>
          <w:sz w:val="22"/>
          <w:szCs w:val="22"/>
        </w:rPr>
        <w:t xml:space="preserve">This document is issued under the authority of Bukhatir Group and applies when carrying out the activities described. Revisions may be issued as necessary under the authority of the Group Head of Procurement. Revision history is recorded below with every revised policy.</w:t>
      </w:r>
    </w:p>
    <w:p>
      <w:pPr>
        <w:spacing w:after="100" w:before="100"/>
      </w:pPr>
      <w:r>
        <w:t xml:space="preserve"/>
      </w:r>
    </w:p>
    <w:p>
      <w:pPr>
        <w:pStyle w:val="Heading2"/>
        <w:spacing w:after="100" w:before="220"/>
      </w:pPr>
      <w:r>
        <w:rPr>
          <w:rFonts w:ascii="Calibri" w:cs="Calibri" w:eastAsia="Calibri" w:hAnsi="Calibri"/>
          <w:b/>
          <w:bCs/>
          <w:color w:val="2E75B6"/>
          <w:sz w:val="26"/>
          <w:szCs w:val="26"/>
        </w:rPr>
        <w:t xml:space="preserve">Revision History</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2500"/>
        <w:gridCol w:w="5060"/>
      </w:tblGrid>
      <w:tr>
        <w:trPr>
          <w:tblHeader/>
        </w:trPr>
        <w:tc>
          <w:tcPr>
            <w:tcW w:type="dxa" w:w="18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Ver. No.</w:t>
            </w:r>
          </w:p>
        </w:tc>
        <w:tc>
          <w:tcPr>
            <w:tcW w:type="dxa" w:w="25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Effective Date</w:t>
            </w:r>
          </w:p>
        </w:tc>
        <w:tc>
          <w:tcPr>
            <w:tcW w:type="dxa" w:w="50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Description</w:t>
            </w:r>
          </w:p>
        </w:tc>
      </w:tr>
      <w:tr>
        <w:tc>
          <w:tcPr>
            <w:tcW w:type="dxa" w:w="1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02</w:t>
            </w:r>
          </w:p>
        </w:tc>
        <w:tc>
          <w:tcPr>
            <w:tcW w:type="dxa" w:w="25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September 2016</w:t>
            </w:r>
          </w:p>
        </w:tc>
        <w:tc>
          <w:tcPr>
            <w:tcW w:type="dxa" w:w="50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Original Procurement Policy</w:t>
            </w:r>
          </w:p>
        </w:tc>
      </w:tr>
      <w:tr>
        <w:tc>
          <w:tcPr>
            <w:tcW w:type="dxa" w:w="1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0.3</w:t>
            </w:r>
          </w:p>
        </w:tc>
        <w:tc>
          <w:tcPr>
            <w:tcW w:type="dxa" w:w="25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March 2026</w:t>
            </w:r>
          </w:p>
        </w:tc>
        <w:tc>
          <w:tcPr>
            <w:tcW w:type="dxa" w:w="50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Procurement Policy – Introduction</w:t>
            </w:r>
          </w:p>
        </w:tc>
      </w:tr>
      <w:tr>
        <w:tc>
          <w:tcPr>
            <w:tcW w:type="dxa" w:w="1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0.4</w:t>
            </w:r>
          </w:p>
        </w:tc>
        <w:tc>
          <w:tcPr>
            <w:tcW w:type="dxa" w:w="25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08 April 2026</w:t>
            </w:r>
          </w:p>
        </w:tc>
        <w:tc>
          <w:tcPr>
            <w:tcW w:type="dxa" w:w="50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Redesign, content modernization &amp; flowcharts – Introduction</w:t>
            </w:r>
          </w:p>
        </w:tc>
      </w:tr>
    </w:tbl>
    <w:p>
      <w:pPr>
        <w:spacing w:after="200" w:before="200"/>
      </w:pPr>
      <w:r>
        <w:t xml:space="preserve"/>
      </w:r>
    </w:p>
    <w:p>
      <w:pPr>
        <w:pStyle w:val="Heading2"/>
        <w:spacing w:after="100" w:before="220"/>
      </w:pPr>
      <w:r>
        <w:rPr>
          <w:rFonts w:ascii="Calibri" w:cs="Calibri" w:eastAsia="Calibri" w:hAnsi="Calibri"/>
          <w:b/>
          <w:bCs/>
          <w:color w:val="2E75B6"/>
          <w:sz w:val="26"/>
          <w:szCs w:val="26"/>
        </w:rPr>
        <w:t xml:space="preserve">Revision Sign-Off</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000"/>
        <w:gridCol w:w="3360"/>
        <w:gridCol w:w="2000"/>
      </w:tblGrid>
      <w:tr>
        <w:trPr>
          <w:tblHeader/>
        </w:trPr>
        <w:tc>
          <w:tcPr>
            <w:tcW w:type="dxa" w:w="40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Approving Committee</w:t>
            </w:r>
          </w:p>
        </w:tc>
        <w:tc>
          <w:tcPr>
            <w:tcW w:type="dxa" w:w="33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Name</w:t>
            </w:r>
          </w:p>
        </w:tc>
        <w:tc>
          <w:tcPr>
            <w:tcW w:type="dxa" w:w="20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Signature</w:t>
            </w:r>
          </w:p>
        </w:tc>
      </w:tr>
      <w:tr>
        <w:tc>
          <w:tcPr>
            <w:tcW w:type="dxa" w:w="4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Endorsed by — Group Head of Supply Chain</w:t>
            </w:r>
          </w:p>
        </w:tc>
        <w:tc>
          <w:tcPr>
            <w:tcW w:type="dxa" w:w="33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Mohamad Koussa</w:t>
            </w:r>
          </w:p>
        </w:tc>
        <w:tc>
          <w:tcPr>
            <w:tcW w:type="dxa" w:w="2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r>
        <w:tc>
          <w:tcPr>
            <w:tcW w:type="dxa" w:w="4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Reviewed by — BIIL CEO</w:t>
            </w:r>
          </w:p>
        </w:tc>
        <w:tc>
          <w:tcPr>
            <w:tcW w:type="dxa" w:w="33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Mr. Ayman Ismail</w:t>
            </w:r>
          </w:p>
        </w:tc>
        <w:tc>
          <w:tcPr>
            <w:tcW w:type="dxa" w:w="2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r>
        <w:tc>
          <w:tcPr>
            <w:tcW w:type="dxa" w:w="4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Reviewed by — Group Chief Financial Officer</w:t>
            </w:r>
          </w:p>
        </w:tc>
        <w:tc>
          <w:tcPr>
            <w:tcW w:type="dxa" w:w="33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Mohamad Adnaan Sait</w:t>
            </w:r>
          </w:p>
        </w:tc>
        <w:tc>
          <w:tcPr>
            <w:tcW w:type="dxa" w:w="2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r>
        <w:tc>
          <w:tcPr>
            <w:tcW w:type="dxa" w:w="4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Approved by — Group Vice Chairman &amp; Group CEO</w:t>
            </w:r>
          </w:p>
        </w:tc>
        <w:tc>
          <w:tcPr>
            <w:tcW w:type="dxa" w:w="33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Mr. Salah Bukhatir</w:t>
            </w:r>
          </w:p>
        </w:tc>
        <w:tc>
          <w:tcPr>
            <w:tcW w:type="dxa" w:w="2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bl>
    <w:p>
      <w:pPr>
        <w:spacing w:after="200" w:before="200"/>
      </w:pPr>
      <w:r>
        <w:t xml:space="preserve"/>
      </w:r>
    </w:p>
    <w:p>
      <w:pPr>
        <w:pStyle w:val="Heading2"/>
        <w:spacing w:after="100" w:before="220"/>
      </w:pPr>
      <w:r>
        <w:rPr>
          <w:rFonts w:ascii="Calibri" w:cs="Calibri" w:eastAsia="Calibri" w:hAnsi="Calibri"/>
          <w:b/>
          <w:bCs/>
          <w:color w:val="2E75B6"/>
          <w:sz w:val="26"/>
          <w:szCs w:val="26"/>
        </w:rPr>
        <w:t xml:space="preserve">Distribution List</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0"/>
        <w:gridCol w:w="8560"/>
      </w:tblGrid>
      <w:tr>
        <w:trPr>
          <w:tblHeader/>
        </w:trPr>
        <w:tc>
          <w:tcPr>
            <w:tcW w:type="dxa" w:w="8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w:t>
            </w:r>
          </w:p>
        </w:tc>
        <w:tc>
          <w:tcPr>
            <w:tcW w:type="dxa" w:w="85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Departments</w:t>
            </w:r>
          </w:p>
        </w:tc>
      </w:tr>
      <w:tr>
        <w:tc>
          <w:tcPr>
            <w:tcW w:type="dxa" w:w="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1</w:t>
            </w:r>
          </w:p>
        </w:tc>
        <w:tc>
          <w:tcPr>
            <w:tcW w:type="dxa" w:w="85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Business Unit Procurement Departments</w:t>
            </w:r>
          </w:p>
        </w:tc>
      </w:tr>
      <w:tr>
        <w:tc>
          <w:tcPr>
            <w:tcW w:type="dxa" w:w="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2</w:t>
            </w:r>
          </w:p>
        </w:tc>
        <w:tc>
          <w:tcPr>
            <w:tcW w:type="dxa" w:w="85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Group Supply Chain (GSC)</w:t>
            </w:r>
          </w:p>
        </w:tc>
      </w:tr>
      <w:tr>
        <w:tc>
          <w:tcPr>
            <w:tcW w:type="dxa" w:w="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3</w:t>
            </w:r>
          </w:p>
        </w:tc>
        <w:tc>
          <w:tcPr>
            <w:tcW w:type="dxa" w:w="85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Finance, Legal, Compliance, Internal Audit</w:t>
            </w:r>
          </w:p>
        </w:tc>
      </w:tr>
      <w:tr>
        <w:tc>
          <w:tcPr>
            <w:tcW w:type="dxa" w:w="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4</w:t>
            </w:r>
          </w:p>
        </w:tc>
        <w:tc>
          <w:tcPr>
            <w:tcW w:type="dxa" w:w="85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Business Unit Management</w:t>
            </w:r>
          </w:p>
        </w:tc>
      </w:tr>
    </w:tbl>
    <w:p>
      <w:r>
        <w:br w:type="page"/>
      </w:r>
    </w:p>
    <w:p>
      <w:pPr>
        <w:pStyle w:val="Heading1"/>
        <w:pBdr>
          <w:bottom w:val="single" w:color="1F3864" w:sz="18" w:space="4"/>
        </w:pBdr>
        <w:spacing w:after="160" w:before="320"/>
      </w:pPr>
      <w:r>
        <w:rPr>
          <w:rFonts w:ascii="Calibri" w:cs="Calibri" w:eastAsia="Calibri" w:hAnsi="Calibri"/>
          <w:b/>
          <w:bCs/>
          <w:color w:val="1F3864"/>
          <w:sz w:val="30"/>
          <w:szCs w:val="30"/>
        </w:rPr>
        <w:t xml:space="preserve">1. Purpose &amp; Objective</w:t>
      </w:r>
    </w:p>
    <w:p>
      <w:pPr>
        <w:spacing w:after="60" w:before="60" w:line="290"/>
        <w:jc w:val="both"/>
      </w:pPr>
      <w:r>
        <w:rPr>
          <w:rFonts w:ascii="Calibri" w:cs="Calibri" w:eastAsia="Calibri" w:hAnsi="Calibri"/>
          <w:color w:val="222222"/>
          <w:sz w:val="22"/>
          <w:szCs w:val="22"/>
        </w:rPr>
        <w:t xml:space="preserve">This Introduction establishes the framework for the Bukhatir Group Procurement and Supply Chain Policies (SOP 1 through SOP 6). It sets out the governance, principles, roles and standards of conduct that apply to all procurement activity across the Group.</w:t>
      </w:r>
    </w:p>
    <w:p>
      <w:pPr>
        <w:pStyle w:val="Heading1"/>
        <w:pBdr>
          <w:bottom w:val="single" w:color="1F3864" w:sz="18" w:space="4"/>
        </w:pBdr>
        <w:spacing w:after="160" w:before="320"/>
      </w:pPr>
      <w:r>
        <w:rPr>
          <w:rFonts w:ascii="Calibri" w:cs="Calibri" w:eastAsia="Calibri" w:hAnsi="Calibri"/>
          <w:b/>
          <w:bCs/>
          <w:color w:val="1F3864"/>
          <w:sz w:val="30"/>
          <w:szCs w:val="30"/>
        </w:rPr>
        <w:t xml:space="preserve">2. Vision &amp; Mission</w:t>
      </w:r>
    </w:p>
    <w:p>
      <w:pPr>
        <w:pStyle w:val="Heading3"/>
        <w:spacing w:after="80" w:before="160"/>
      </w:pPr>
      <w:r>
        <w:rPr>
          <w:rFonts w:ascii="Calibri" w:cs="Calibri" w:eastAsia="Calibri" w:hAnsi="Calibri"/>
          <w:b/>
          <w:bCs/>
          <w:color w:val="1F3864"/>
          <w:sz w:val="22"/>
          <w:szCs w:val="22"/>
        </w:rPr>
        <w:t xml:space="preserve">Vision</w:t>
      </w:r>
    </w:p>
    <w:p>
      <w:pPr>
        <w:spacing w:after="60" w:before="60" w:line="290"/>
        <w:jc w:val="both"/>
      </w:pPr>
      <w:r>
        <w:rPr>
          <w:rFonts w:ascii="Calibri" w:cs="Calibri" w:eastAsia="Calibri" w:hAnsi="Calibri"/>
          <w:color w:val="222222"/>
          <w:sz w:val="22"/>
          <w:szCs w:val="22"/>
        </w:rPr>
        <w:t xml:space="preserve">To be a trusted, best-in-class shared procurement function that enables the growth ambitions of every Bukhatir Group business unit through strategic sourcing, supplier partnerships and disciplined value capture.</w:t>
      </w:r>
    </w:p>
    <w:p>
      <w:pPr>
        <w:pStyle w:val="Heading3"/>
        <w:spacing w:after="80" w:before="160"/>
      </w:pPr>
      <w:r>
        <w:rPr>
          <w:rFonts w:ascii="Calibri" w:cs="Calibri" w:eastAsia="Calibri" w:hAnsi="Calibri"/>
          <w:b/>
          <w:bCs/>
          <w:color w:val="1F3864"/>
          <w:sz w:val="22"/>
          <w:szCs w:val="22"/>
        </w:rPr>
        <w:t xml:space="preserve">Mission</w:t>
      </w:r>
    </w:p>
    <w:p>
      <w:pPr>
        <w:spacing w:after="60" w:before="60" w:line="290"/>
        <w:jc w:val="both"/>
      </w:pPr>
      <w:r>
        <w:rPr>
          <w:rFonts w:ascii="Calibri" w:cs="Calibri" w:eastAsia="Calibri" w:hAnsi="Calibri"/>
          <w:color w:val="222222"/>
          <w:sz w:val="22"/>
          <w:szCs w:val="22"/>
        </w:rPr>
        <w:t xml:space="preserve">Deliver measurable value, manage risk and uphold integrity across the Group's source-to-pay lifecycle — from demand planning to supplier performance — while supporting sustainability, Emiratisation and local content ambitions.</w:t>
      </w:r>
    </w:p>
    <w:p>
      <w:pPr>
        <w:pStyle w:val="Heading1"/>
        <w:pBdr>
          <w:bottom w:val="single" w:color="1F3864" w:sz="18" w:space="4"/>
        </w:pBdr>
        <w:spacing w:after="160" w:before="320"/>
      </w:pPr>
      <w:r>
        <w:rPr>
          <w:rFonts w:ascii="Calibri" w:cs="Calibri" w:eastAsia="Calibri" w:hAnsi="Calibri"/>
          <w:b/>
          <w:bCs/>
          <w:color w:val="1F3864"/>
          <w:sz w:val="30"/>
          <w:szCs w:val="30"/>
        </w:rPr>
        <w:t xml:space="preserve">3. Guiding Principles</w:t>
      </w:r>
    </w:p>
    <w:p>
      <w:pPr>
        <w:pStyle w:val="ListParagraph"/>
        <w:numPr>
          <w:ilvl w:val="0"/>
          <w:numId w:val="2"/>
        </w:numPr>
        <w:spacing w:after="40" w:before="40"/>
      </w:pPr>
      <w:r>
        <w:rPr>
          <w:rFonts w:ascii="Calibri" w:cs="Calibri" w:eastAsia="Calibri" w:hAnsi="Calibri"/>
          <w:color w:val="222222"/>
          <w:sz w:val="22"/>
          <w:szCs w:val="22"/>
        </w:rPr>
        <w:t xml:space="preserve">Integrity — zero tolerance for bribery, corruption, fraud, collusion or conflicts of interest.</w:t>
      </w:r>
    </w:p>
    <w:p>
      <w:pPr>
        <w:pStyle w:val="ListParagraph"/>
        <w:numPr>
          <w:ilvl w:val="0"/>
          <w:numId w:val="2"/>
        </w:numPr>
        <w:spacing w:after="40" w:before="40"/>
      </w:pPr>
      <w:r>
        <w:rPr>
          <w:rFonts w:ascii="Calibri" w:cs="Calibri" w:eastAsia="Calibri" w:hAnsi="Calibri"/>
          <w:color w:val="222222"/>
          <w:sz w:val="22"/>
          <w:szCs w:val="22"/>
        </w:rPr>
        <w:t xml:space="preserve">Transparency — all procurement activity is documented, auditable and traceable.</w:t>
      </w:r>
    </w:p>
    <w:p>
      <w:pPr>
        <w:pStyle w:val="ListParagraph"/>
        <w:numPr>
          <w:ilvl w:val="0"/>
          <w:numId w:val="2"/>
        </w:numPr>
        <w:spacing w:after="40" w:before="40"/>
      </w:pPr>
      <w:r>
        <w:rPr>
          <w:rFonts w:ascii="Calibri" w:cs="Calibri" w:eastAsia="Calibri" w:hAnsi="Calibri"/>
          <w:color w:val="222222"/>
          <w:sz w:val="22"/>
          <w:szCs w:val="22"/>
        </w:rPr>
        <w:t xml:space="preserve">Best Value — decisions based on the lowest price with the best technical match and best overall value.</w:t>
      </w:r>
    </w:p>
    <w:p>
      <w:pPr>
        <w:pStyle w:val="ListParagraph"/>
        <w:numPr>
          <w:ilvl w:val="0"/>
          <w:numId w:val="2"/>
        </w:numPr>
        <w:spacing w:after="40" w:before="40"/>
      </w:pPr>
      <w:r>
        <w:rPr>
          <w:rFonts w:ascii="Calibri" w:cs="Calibri" w:eastAsia="Calibri" w:hAnsi="Calibri"/>
          <w:color w:val="222222"/>
          <w:sz w:val="22"/>
          <w:szCs w:val="22"/>
        </w:rPr>
        <w:t xml:space="preserve">Fair Competition — suppliers compete on a level, impartial playing field.</w:t>
      </w:r>
    </w:p>
    <w:p>
      <w:pPr>
        <w:pStyle w:val="ListParagraph"/>
        <w:numPr>
          <w:ilvl w:val="0"/>
          <w:numId w:val="2"/>
        </w:numPr>
        <w:spacing w:after="40" w:before="40"/>
      </w:pPr>
      <w:r>
        <w:rPr>
          <w:rFonts w:ascii="Calibri" w:cs="Calibri" w:eastAsia="Calibri" w:hAnsi="Calibri"/>
          <w:color w:val="222222"/>
          <w:sz w:val="22"/>
          <w:szCs w:val="22"/>
        </w:rPr>
        <w:t xml:space="preserve">Risk-based Controls — controls scale with value, complexity and strategic importance.</w:t>
      </w:r>
    </w:p>
    <w:p>
      <w:pPr>
        <w:pStyle w:val="ListParagraph"/>
        <w:numPr>
          <w:ilvl w:val="0"/>
          <w:numId w:val="2"/>
        </w:numPr>
        <w:spacing w:after="40" w:before="40"/>
      </w:pPr>
      <w:r>
        <w:rPr>
          <w:rFonts w:ascii="Calibri" w:cs="Calibri" w:eastAsia="Calibri" w:hAnsi="Calibri"/>
          <w:color w:val="222222"/>
          <w:sz w:val="22"/>
          <w:szCs w:val="22"/>
        </w:rPr>
        <w:t xml:space="preserve">Digital by Default — Oracle / e-sourcing platforms are the single source of truth.</w:t>
      </w:r>
    </w:p>
    <w:p>
      <w:pPr>
        <w:pStyle w:val="Heading1"/>
        <w:pBdr>
          <w:bottom w:val="single" w:color="1F3864" w:sz="18" w:space="4"/>
        </w:pBdr>
        <w:spacing w:after="160" w:before="320"/>
      </w:pPr>
      <w:r>
        <w:rPr>
          <w:rFonts w:ascii="Calibri" w:cs="Calibri" w:eastAsia="Calibri" w:hAnsi="Calibri"/>
          <w:b/>
          <w:bCs/>
          <w:color w:val="1F3864"/>
          <w:sz w:val="30"/>
          <w:szCs w:val="30"/>
        </w:rPr>
        <w:t xml:space="preserve">4. Governance &amp; Roles (RACI)</w:t>
      </w:r>
    </w:p>
    <w:p>
      <w:pPr>
        <w:spacing w:after="60" w:before="60" w:line="290"/>
        <w:jc w:val="both"/>
      </w:pPr>
      <w:r>
        <w:rPr>
          <w:rFonts w:ascii="Calibri" w:cs="Calibri" w:eastAsia="Calibri" w:hAnsi="Calibri"/>
          <w:color w:val="222222"/>
          <w:sz w:val="22"/>
          <w:szCs w:val="22"/>
        </w:rPr>
        <w:t xml:space="preserve">The following RACI matrix defines accountability for the procurement lifecycle across the Group. R = Responsible, A = Accountable, C = Consulted, I = Informed.</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960"/>
        <w:gridCol w:w="1240"/>
        <w:gridCol w:w="1240"/>
        <w:gridCol w:w="1240"/>
        <w:gridCol w:w="1240"/>
        <w:gridCol w:w="1220"/>
        <w:gridCol w:w="1220"/>
      </w:tblGrid>
      <w:tr>
        <w:trPr>
          <w:tblHeader/>
        </w:trPr>
        <w:tc>
          <w:tcPr>
            <w:tcW w:type="dxa" w:w="19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Lifecycle Step</w:t>
            </w:r>
          </w:p>
        </w:tc>
        <w:tc>
          <w:tcPr>
            <w:tcW w:type="dxa" w:w="124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BU Requestor</w:t>
            </w:r>
          </w:p>
        </w:tc>
        <w:tc>
          <w:tcPr>
            <w:tcW w:type="dxa" w:w="124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BU Proc.</w:t>
            </w:r>
          </w:p>
        </w:tc>
        <w:tc>
          <w:tcPr>
            <w:tcW w:type="dxa" w:w="124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GSC</w:t>
            </w:r>
          </w:p>
        </w:tc>
        <w:tc>
          <w:tcPr>
            <w:tcW w:type="dxa" w:w="124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Finance</w:t>
            </w:r>
          </w:p>
        </w:tc>
        <w:tc>
          <w:tcPr>
            <w:tcW w:type="dxa" w:w="122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Legal</w:t>
            </w:r>
          </w:p>
        </w:tc>
        <w:tc>
          <w:tcPr>
            <w:tcW w:type="dxa" w:w="122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CFO/CEO</w:t>
            </w:r>
          </w:p>
        </w:tc>
      </w:tr>
      <w:tr>
        <w:tc>
          <w:tcPr>
            <w:tcW w:type="dxa" w:w="19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Demand &amp; PR</w:t>
            </w:r>
          </w:p>
        </w:tc>
        <w:tc>
          <w:tcPr>
            <w:tcW w:type="dxa" w:w="124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w:t>
            </w:r>
          </w:p>
        </w:tc>
        <w:tc>
          <w:tcPr>
            <w:tcW w:type="dxa" w:w="124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w:t>
            </w:r>
          </w:p>
        </w:tc>
        <w:tc>
          <w:tcPr>
            <w:tcW w:type="dxa" w:w="124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I</w:t>
            </w:r>
          </w:p>
        </w:tc>
        <w:tc>
          <w:tcPr>
            <w:tcW w:type="dxa" w:w="124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I</w:t>
            </w:r>
          </w:p>
        </w:tc>
        <w:tc>
          <w:tcPr>
            <w:tcW w:type="dxa" w:w="122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I</w:t>
            </w:r>
          </w:p>
        </w:tc>
        <w:tc>
          <w:tcPr>
            <w:tcW w:type="dxa" w:w="122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I</w:t>
            </w:r>
          </w:p>
        </w:tc>
      </w:tr>
      <w:tr>
        <w:tc>
          <w:tcPr>
            <w:tcW w:type="dxa" w:w="19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Sourcing Strategy</w:t>
            </w:r>
          </w:p>
        </w:tc>
        <w:tc>
          <w:tcPr>
            <w:tcW w:type="dxa" w:w="124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w:t>
            </w:r>
          </w:p>
        </w:tc>
        <w:tc>
          <w:tcPr>
            <w:tcW w:type="dxa" w:w="124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w:t>
            </w:r>
          </w:p>
        </w:tc>
        <w:tc>
          <w:tcPr>
            <w:tcW w:type="dxa" w:w="124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w:t>
            </w:r>
          </w:p>
        </w:tc>
        <w:tc>
          <w:tcPr>
            <w:tcW w:type="dxa" w:w="124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w:t>
            </w:r>
          </w:p>
        </w:tc>
        <w:tc>
          <w:tcPr>
            <w:tcW w:type="dxa" w:w="122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w:t>
            </w:r>
          </w:p>
        </w:tc>
        <w:tc>
          <w:tcPr>
            <w:tcW w:type="dxa" w:w="122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I</w:t>
            </w:r>
          </w:p>
        </w:tc>
      </w:tr>
      <w:tr>
        <w:tc>
          <w:tcPr>
            <w:tcW w:type="dxa" w:w="19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RFQ / Tender</w:t>
            </w:r>
          </w:p>
        </w:tc>
        <w:tc>
          <w:tcPr>
            <w:tcW w:type="dxa" w:w="124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I</w:t>
            </w:r>
          </w:p>
        </w:tc>
        <w:tc>
          <w:tcPr>
            <w:tcW w:type="dxa" w:w="124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w:t>
            </w:r>
          </w:p>
        </w:tc>
        <w:tc>
          <w:tcPr>
            <w:tcW w:type="dxa" w:w="124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w:t>
            </w:r>
          </w:p>
        </w:tc>
        <w:tc>
          <w:tcPr>
            <w:tcW w:type="dxa" w:w="124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I</w:t>
            </w:r>
          </w:p>
        </w:tc>
        <w:tc>
          <w:tcPr>
            <w:tcW w:type="dxa" w:w="122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w:t>
            </w:r>
          </w:p>
        </w:tc>
        <w:tc>
          <w:tcPr>
            <w:tcW w:type="dxa" w:w="122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I</w:t>
            </w:r>
          </w:p>
        </w:tc>
      </w:tr>
      <w:tr>
        <w:tc>
          <w:tcPr>
            <w:tcW w:type="dxa" w:w="19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Evaluation &amp; Award</w:t>
            </w:r>
          </w:p>
        </w:tc>
        <w:tc>
          <w:tcPr>
            <w:tcW w:type="dxa" w:w="124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w:t>
            </w:r>
          </w:p>
        </w:tc>
        <w:tc>
          <w:tcPr>
            <w:tcW w:type="dxa" w:w="124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w:t>
            </w:r>
          </w:p>
        </w:tc>
        <w:tc>
          <w:tcPr>
            <w:tcW w:type="dxa" w:w="124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w:t>
            </w:r>
          </w:p>
        </w:tc>
        <w:tc>
          <w:tcPr>
            <w:tcW w:type="dxa" w:w="124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w:t>
            </w:r>
          </w:p>
        </w:tc>
        <w:tc>
          <w:tcPr>
            <w:tcW w:type="dxa" w:w="122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w:t>
            </w:r>
          </w:p>
        </w:tc>
        <w:tc>
          <w:tcPr>
            <w:tcW w:type="dxa" w:w="122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I</w:t>
            </w:r>
          </w:p>
        </w:tc>
      </w:tr>
      <w:tr>
        <w:tc>
          <w:tcPr>
            <w:tcW w:type="dxa" w:w="19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LOI / Contract</w:t>
            </w:r>
          </w:p>
        </w:tc>
        <w:tc>
          <w:tcPr>
            <w:tcW w:type="dxa" w:w="124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I</w:t>
            </w:r>
          </w:p>
        </w:tc>
        <w:tc>
          <w:tcPr>
            <w:tcW w:type="dxa" w:w="124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w:t>
            </w:r>
          </w:p>
        </w:tc>
        <w:tc>
          <w:tcPr>
            <w:tcW w:type="dxa" w:w="124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w:t>
            </w:r>
          </w:p>
        </w:tc>
        <w:tc>
          <w:tcPr>
            <w:tcW w:type="dxa" w:w="124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w:t>
            </w:r>
          </w:p>
        </w:tc>
        <w:tc>
          <w:tcPr>
            <w:tcW w:type="dxa" w:w="122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w:t>
            </w:r>
          </w:p>
        </w:tc>
        <w:tc>
          <w:tcPr>
            <w:tcW w:type="dxa" w:w="122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I</w:t>
            </w:r>
          </w:p>
        </w:tc>
      </w:tr>
      <w:tr>
        <w:tc>
          <w:tcPr>
            <w:tcW w:type="dxa" w:w="19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PO Issue</w:t>
            </w:r>
          </w:p>
        </w:tc>
        <w:tc>
          <w:tcPr>
            <w:tcW w:type="dxa" w:w="124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I</w:t>
            </w:r>
          </w:p>
        </w:tc>
        <w:tc>
          <w:tcPr>
            <w:tcW w:type="dxa" w:w="124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w:t>
            </w:r>
          </w:p>
        </w:tc>
        <w:tc>
          <w:tcPr>
            <w:tcW w:type="dxa" w:w="124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w:t>
            </w:r>
          </w:p>
        </w:tc>
        <w:tc>
          <w:tcPr>
            <w:tcW w:type="dxa" w:w="124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w:t>
            </w:r>
          </w:p>
        </w:tc>
        <w:tc>
          <w:tcPr>
            <w:tcW w:type="dxa" w:w="122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I</w:t>
            </w:r>
          </w:p>
        </w:tc>
        <w:tc>
          <w:tcPr>
            <w:tcW w:type="dxa" w:w="122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I</w:t>
            </w:r>
          </w:p>
        </w:tc>
      </w:tr>
      <w:tr>
        <w:tc>
          <w:tcPr>
            <w:tcW w:type="dxa" w:w="19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Delivery / GRN</w:t>
            </w:r>
          </w:p>
        </w:tc>
        <w:tc>
          <w:tcPr>
            <w:tcW w:type="dxa" w:w="124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w:t>
            </w:r>
          </w:p>
        </w:tc>
        <w:tc>
          <w:tcPr>
            <w:tcW w:type="dxa" w:w="124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w:t>
            </w:r>
          </w:p>
        </w:tc>
        <w:tc>
          <w:tcPr>
            <w:tcW w:type="dxa" w:w="124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I</w:t>
            </w:r>
          </w:p>
        </w:tc>
        <w:tc>
          <w:tcPr>
            <w:tcW w:type="dxa" w:w="124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I</w:t>
            </w:r>
          </w:p>
        </w:tc>
        <w:tc>
          <w:tcPr>
            <w:tcW w:type="dxa" w:w="122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I</w:t>
            </w:r>
          </w:p>
        </w:tc>
        <w:tc>
          <w:tcPr>
            <w:tcW w:type="dxa" w:w="122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I</w:t>
            </w:r>
          </w:p>
        </w:tc>
      </w:tr>
      <w:tr>
        <w:tc>
          <w:tcPr>
            <w:tcW w:type="dxa" w:w="19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Invoice &amp; Payment</w:t>
            </w:r>
          </w:p>
        </w:tc>
        <w:tc>
          <w:tcPr>
            <w:tcW w:type="dxa" w:w="124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I</w:t>
            </w:r>
          </w:p>
        </w:tc>
        <w:tc>
          <w:tcPr>
            <w:tcW w:type="dxa" w:w="124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I</w:t>
            </w:r>
          </w:p>
        </w:tc>
        <w:tc>
          <w:tcPr>
            <w:tcW w:type="dxa" w:w="124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w:t>
            </w:r>
          </w:p>
        </w:tc>
        <w:tc>
          <w:tcPr>
            <w:tcW w:type="dxa" w:w="124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w:t>
            </w:r>
          </w:p>
        </w:tc>
        <w:tc>
          <w:tcPr>
            <w:tcW w:type="dxa" w:w="122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I</w:t>
            </w:r>
          </w:p>
        </w:tc>
        <w:tc>
          <w:tcPr>
            <w:tcW w:type="dxa" w:w="122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I</w:t>
            </w:r>
          </w:p>
        </w:tc>
      </w:tr>
      <w:tr>
        <w:tc>
          <w:tcPr>
            <w:tcW w:type="dxa" w:w="19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Supplier Mgmt.</w:t>
            </w:r>
          </w:p>
        </w:tc>
        <w:tc>
          <w:tcPr>
            <w:tcW w:type="dxa" w:w="124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w:t>
            </w:r>
          </w:p>
        </w:tc>
        <w:tc>
          <w:tcPr>
            <w:tcW w:type="dxa" w:w="124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w:t>
            </w:r>
          </w:p>
        </w:tc>
        <w:tc>
          <w:tcPr>
            <w:tcW w:type="dxa" w:w="124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w:t>
            </w:r>
          </w:p>
        </w:tc>
        <w:tc>
          <w:tcPr>
            <w:tcW w:type="dxa" w:w="124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I</w:t>
            </w:r>
          </w:p>
        </w:tc>
        <w:tc>
          <w:tcPr>
            <w:tcW w:type="dxa" w:w="122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I</w:t>
            </w:r>
          </w:p>
        </w:tc>
        <w:tc>
          <w:tcPr>
            <w:tcW w:type="dxa" w:w="122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I</w:t>
            </w:r>
          </w:p>
        </w:tc>
      </w:tr>
    </w:tbl>
    <w:p>
      <w:pPr>
        <w:pStyle w:val="Heading1"/>
        <w:pBdr>
          <w:bottom w:val="single" w:color="1F3864" w:sz="18" w:space="4"/>
        </w:pBdr>
        <w:spacing w:after="160" w:before="320"/>
      </w:pPr>
      <w:r>
        <w:rPr>
          <w:rFonts w:ascii="Calibri" w:cs="Calibri" w:eastAsia="Calibri" w:hAnsi="Calibri"/>
          <w:b/>
          <w:bCs/>
          <w:color w:val="1F3864"/>
          <w:sz w:val="30"/>
          <w:szCs w:val="30"/>
        </w:rPr>
        <w:t xml:space="preserve">5. Policy Hierarchy</w:t>
      </w:r>
    </w:p>
    <w:p>
      <w:pPr>
        <w:spacing w:after="60" w:before="60" w:line="290"/>
        <w:jc w:val="both"/>
      </w:pPr>
      <w:r>
        <w:rPr>
          <w:rFonts w:ascii="Calibri" w:cs="Calibri" w:eastAsia="Calibri" w:hAnsi="Calibri"/>
          <w:color w:val="222222"/>
          <w:sz w:val="22"/>
          <w:szCs w:val="22"/>
        </w:rPr>
        <w:t xml:space="preserve">Procurement policy is organised as a 3-tier structure:</w:t>
      </w:r>
    </w:p>
    <w:p>
      <w:pPr>
        <w:pStyle w:val="ListParagraph"/>
        <w:numPr>
          <w:ilvl w:val="0"/>
          <w:numId w:val="3"/>
        </w:numPr>
        <w:spacing w:after="40" w:before="40"/>
      </w:pPr>
      <w:r>
        <w:rPr>
          <w:rFonts w:ascii="Calibri" w:cs="Calibri" w:eastAsia="Calibri" w:hAnsi="Calibri"/>
          <w:color w:val="222222"/>
          <w:sz w:val="22"/>
          <w:szCs w:val="22"/>
        </w:rPr>
        <w:t xml:space="preserve">Tier 1 — Code &amp; Principles: the Group Code of Conduct, this SOP-Intro and the Procurement Charter.</w:t>
      </w:r>
    </w:p>
    <w:p>
      <w:pPr>
        <w:pStyle w:val="ListParagraph"/>
        <w:numPr>
          <w:ilvl w:val="0"/>
          <w:numId w:val="3"/>
        </w:numPr>
        <w:spacing w:after="40" w:before="40"/>
      </w:pPr>
      <w:r>
        <w:rPr>
          <w:rFonts w:ascii="Calibri" w:cs="Calibri" w:eastAsia="Calibri" w:hAnsi="Calibri"/>
          <w:color w:val="222222"/>
          <w:sz w:val="22"/>
          <w:szCs w:val="22"/>
        </w:rPr>
        <w:t xml:space="preserve">Tier 2 — Policies (SOP 1–6): the detailed procedural standards for each lifecycle stage.</w:t>
      </w:r>
    </w:p>
    <w:p>
      <w:pPr>
        <w:pStyle w:val="ListParagraph"/>
        <w:numPr>
          <w:ilvl w:val="0"/>
          <w:numId w:val="3"/>
        </w:numPr>
        <w:spacing w:after="40" w:before="40"/>
      </w:pPr>
      <w:r>
        <w:rPr>
          <w:rFonts w:ascii="Calibri" w:cs="Calibri" w:eastAsia="Calibri" w:hAnsi="Calibri"/>
          <w:color w:val="222222"/>
          <w:sz w:val="22"/>
          <w:szCs w:val="22"/>
        </w:rPr>
        <w:t xml:space="preserve">Tier 3 — Working Instructions, Templates &amp; System Configurations: operational guides, forms, approval matrices and Oracle system controls.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9A961" w:sz="24" w:space="0"/>
              <w:left w:val="single" w:color="BFBFBF" w:sz="4"/>
              <w:bottom w:val="single" w:color="BFBFBF" w:sz="4"/>
              <w:right w:val="single" w:color="BFBFBF" w:sz="4"/>
            </w:tcBorders>
            <w:shd w:fill="F2F5FB" w:val="clear"/>
            <w:tcMar>
              <w:top w:type="dxa" w:w="160"/>
              <w:left w:type="dxa" w:w="200"/>
              <w:bottom w:type="dxa" w:w="160"/>
              <w:right w:type="dxa" w:w="200"/>
            </w:tcMar>
          </w:tcPr>
          <w:p>
            <w:r>
              <w:rPr>
                <w:rFonts w:ascii="Calibri" w:cs="Calibri" w:eastAsia="Calibri" w:hAnsi="Calibri"/>
                <w:b/>
                <w:bCs/>
                <w:color w:val="1F3864"/>
                <w:sz w:val="20"/>
                <w:szCs w:val="20"/>
              </w:rPr>
              <w:t xml:space="preserve">PRECEDENCE</w:t>
            </w:r>
          </w:p>
          <w:p>
            <w:pPr>
              <w:spacing w:before="80"/>
            </w:pPr>
            <w:r>
              <w:rPr>
                <w:rFonts w:ascii="Calibri" w:cs="Calibri" w:eastAsia="Calibri" w:hAnsi="Calibri"/>
                <w:color w:val="333333"/>
                <w:sz w:val="20"/>
                <w:szCs w:val="20"/>
              </w:rPr>
              <w:t xml:space="preserve">Where a conflict exists, Tier 1 prevails over Tier 2, and Tier 2 prevails over Tier 3. Deviations require written CFO/CEO approval.</w:t>
            </w:r>
          </w:p>
        </w:tc>
      </w:tr>
    </w:tbl>
    <w:p>
      <w:pPr>
        <w:pStyle w:val="Heading1"/>
        <w:pBdr>
          <w:bottom w:val="single" w:color="1F3864" w:sz="18" w:space="4"/>
        </w:pBdr>
        <w:spacing w:after="160" w:before="320"/>
      </w:pPr>
      <w:r>
        <w:rPr>
          <w:rFonts w:ascii="Calibri" w:cs="Calibri" w:eastAsia="Calibri" w:hAnsi="Calibri"/>
          <w:b/>
          <w:bCs/>
          <w:color w:val="1F3864"/>
          <w:sz w:val="30"/>
          <w:szCs w:val="30"/>
        </w:rPr>
        <w:t xml:space="preserve">6. Code of Conduct</w:t>
      </w:r>
    </w:p>
    <w:p>
      <w:pPr>
        <w:pStyle w:val="Heading3"/>
        <w:spacing w:after="80" w:before="160"/>
      </w:pPr>
      <w:r>
        <w:rPr>
          <w:rFonts w:ascii="Calibri" w:cs="Calibri" w:eastAsia="Calibri" w:hAnsi="Calibri"/>
          <w:b/>
          <w:bCs/>
          <w:color w:val="1F3864"/>
          <w:sz w:val="22"/>
          <w:szCs w:val="22"/>
        </w:rPr>
        <w:t xml:space="preserve">For Buyers</w:t>
      </w:r>
    </w:p>
    <w:p>
      <w:pPr>
        <w:pStyle w:val="ListParagraph"/>
        <w:numPr>
          <w:ilvl w:val="0"/>
          <w:numId w:val="2"/>
        </w:numPr>
        <w:spacing w:after="40" w:before="40"/>
      </w:pPr>
      <w:r>
        <w:rPr>
          <w:rFonts w:ascii="Calibri" w:cs="Calibri" w:eastAsia="Calibri" w:hAnsi="Calibri"/>
          <w:color w:val="222222"/>
          <w:sz w:val="22"/>
          <w:szCs w:val="22"/>
        </w:rPr>
        <w:t xml:space="preserve">Act with honesty, impartiality and integrity at all times.</w:t>
      </w:r>
    </w:p>
    <w:p>
      <w:pPr>
        <w:pStyle w:val="ListParagraph"/>
        <w:numPr>
          <w:ilvl w:val="0"/>
          <w:numId w:val="2"/>
        </w:numPr>
        <w:spacing w:after="40" w:before="40"/>
      </w:pPr>
      <w:r>
        <w:rPr>
          <w:rFonts w:ascii="Calibri" w:cs="Calibri" w:eastAsia="Calibri" w:hAnsi="Calibri"/>
          <w:color w:val="222222"/>
          <w:sz w:val="22"/>
          <w:szCs w:val="22"/>
        </w:rPr>
        <w:t xml:space="preserve">Declare any actual, potential or perceived conflict of interest in writing before any transaction.</w:t>
      </w:r>
    </w:p>
    <w:p>
      <w:pPr>
        <w:pStyle w:val="ListParagraph"/>
        <w:numPr>
          <w:ilvl w:val="0"/>
          <w:numId w:val="2"/>
        </w:numPr>
        <w:spacing w:after="40" w:before="40"/>
      </w:pPr>
      <w:r>
        <w:rPr>
          <w:rFonts w:ascii="Calibri" w:cs="Calibri" w:eastAsia="Calibri" w:hAnsi="Calibri"/>
          <w:color w:val="222222"/>
          <w:sz w:val="22"/>
          <w:szCs w:val="22"/>
        </w:rPr>
        <w:t xml:space="preserve">Do not accept gifts, hospitality or favours from suppliers beyond the de minimis threshold defined in the Group Gifts &amp; Hospitality Policy.</w:t>
      </w:r>
    </w:p>
    <w:p>
      <w:pPr>
        <w:pStyle w:val="ListParagraph"/>
        <w:numPr>
          <w:ilvl w:val="0"/>
          <w:numId w:val="2"/>
        </w:numPr>
        <w:spacing w:after="40" w:before="40"/>
      </w:pPr>
      <w:r>
        <w:rPr>
          <w:rFonts w:ascii="Calibri" w:cs="Calibri" w:eastAsia="Calibri" w:hAnsi="Calibri"/>
          <w:color w:val="222222"/>
          <w:sz w:val="22"/>
          <w:szCs w:val="22"/>
        </w:rPr>
        <w:t xml:space="preserve">Maintain supplier confidentiality and never share competitive information.</w:t>
      </w:r>
    </w:p>
    <w:p>
      <w:pPr>
        <w:pStyle w:val="ListParagraph"/>
        <w:numPr>
          <w:ilvl w:val="0"/>
          <w:numId w:val="2"/>
        </w:numPr>
        <w:spacing w:after="40" w:before="40"/>
      </w:pPr>
      <w:r>
        <w:rPr>
          <w:rFonts w:ascii="Calibri" w:cs="Calibri" w:eastAsia="Calibri" w:hAnsi="Calibri"/>
          <w:color w:val="222222"/>
          <w:sz w:val="22"/>
          <w:szCs w:val="22"/>
        </w:rPr>
        <w:t xml:space="preserve">Segregate incompatible duties (issuer, approver, receiver).</w:t>
      </w:r>
    </w:p>
    <w:p>
      <w:pPr>
        <w:pStyle w:val="Heading3"/>
        <w:spacing w:after="80" w:before="160"/>
      </w:pPr>
      <w:r>
        <w:rPr>
          <w:rFonts w:ascii="Calibri" w:cs="Calibri" w:eastAsia="Calibri" w:hAnsi="Calibri"/>
          <w:b/>
          <w:bCs/>
          <w:color w:val="1F3864"/>
          <w:sz w:val="22"/>
          <w:szCs w:val="22"/>
        </w:rPr>
        <w:t xml:space="preserve">For Suppliers</w:t>
      </w:r>
    </w:p>
    <w:p>
      <w:pPr>
        <w:pStyle w:val="ListParagraph"/>
        <w:numPr>
          <w:ilvl w:val="0"/>
          <w:numId w:val="2"/>
        </w:numPr>
        <w:spacing w:after="40" w:before="40"/>
      </w:pPr>
      <w:r>
        <w:rPr>
          <w:rFonts w:ascii="Calibri" w:cs="Calibri" w:eastAsia="Calibri" w:hAnsi="Calibri"/>
          <w:color w:val="222222"/>
          <w:sz w:val="22"/>
          <w:szCs w:val="22"/>
        </w:rPr>
        <w:t xml:space="preserve">Comply with UAE law, anti-bribery and sanctions regulations.</w:t>
      </w:r>
    </w:p>
    <w:p>
      <w:pPr>
        <w:pStyle w:val="ListParagraph"/>
        <w:numPr>
          <w:ilvl w:val="0"/>
          <w:numId w:val="2"/>
        </w:numPr>
        <w:spacing w:after="40" w:before="40"/>
      </w:pPr>
      <w:r>
        <w:rPr>
          <w:rFonts w:ascii="Calibri" w:cs="Calibri" w:eastAsia="Calibri" w:hAnsi="Calibri"/>
          <w:color w:val="222222"/>
          <w:sz w:val="22"/>
          <w:szCs w:val="22"/>
        </w:rPr>
        <w:t xml:space="preserve">Deliver goods and services that meet contractual quality and HSE standards.</w:t>
      </w:r>
    </w:p>
    <w:p>
      <w:pPr>
        <w:pStyle w:val="ListParagraph"/>
        <w:numPr>
          <w:ilvl w:val="0"/>
          <w:numId w:val="2"/>
        </w:numPr>
        <w:spacing w:after="40" w:before="40"/>
      </w:pPr>
      <w:r>
        <w:rPr>
          <w:rFonts w:ascii="Calibri" w:cs="Calibri" w:eastAsia="Calibri" w:hAnsi="Calibri"/>
          <w:color w:val="222222"/>
          <w:sz w:val="22"/>
          <w:szCs w:val="22"/>
        </w:rPr>
        <w:t xml:space="preserve">Protect Group data and honour cyber-security and UAE PDPL data protection obligations.</w:t>
      </w:r>
    </w:p>
    <w:p>
      <w:pPr>
        <w:pStyle w:val="ListParagraph"/>
        <w:numPr>
          <w:ilvl w:val="0"/>
          <w:numId w:val="2"/>
        </w:numPr>
        <w:spacing w:after="40" w:before="40"/>
      </w:pPr>
      <w:r>
        <w:rPr>
          <w:rFonts w:ascii="Calibri" w:cs="Calibri" w:eastAsia="Calibri" w:hAnsi="Calibri"/>
          <w:color w:val="222222"/>
          <w:sz w:val="22"/>
          <w:szCs w:val="22"/>
        </w:rPr>
        <w:t xml:space="preserve">Disclose beneficial ownership and any sub-contracting arrangements.</w:t>
      </w:r>
    </w:p>
    <w:p>
      <w:pPr>
        <w:pStyle w:val="Heading1"/>
        <w:pBdr>
          <w:bottom w:val="single" w:color="1F3864" w:sz="18" w:space="4"/>
        </w:pBdr>
        <w:spacing w:after="160" w:before="320"/>
      </w:pPr>
      <w:r>
        <w:rPr>
          <w:rFonts w:ascii="Calibri" w:cs="Calibri" w:eastAsia="Calibri" w:hAnsi="Calibri"/>
          <w:b/>
          <w:bCs/>
          <w:color w:val="1F3864"/>
          <w:sz w:val="30"/>
          <w:szCs w:val="30"/>
        </w:rPr>
        <w:t xml:space="preserve">7. Definitions &amp; Acronyms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360"/>
        <w:gridCol w:w="7000"/>
      </w:tblGrid>
      <w:tr>
        <w:trPr>
          <w:tblHeader/>
        </w:trPr>
        <w:tc>
          <w:tcPr>
            <w:tcW w:type="dxa" w:w="23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Term</w:t>
            </w:r>
          </w:p>
        </w:tc>
        <w:tc>
          <w:tcPr>
            <w:tcW w:type="dxa" w:w="70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Definition</w:t>
            </w:r>
          </w:p>
        </w:tc>
      </w:tr>
      <w:tr>
        <w:tc>
          <w:tcPr>
            <w:tcW w:type="dxa" w:w="23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ASL</w:t>
            </w:r>
          </w:p>
        </w:tc>
        <w:tc>
          <w:tcPr>
            <w:tcW w:type="dxa" w:w="7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Approved Supplier List</w:t>
            </w:r>
          </w:p>
        </w:tc>
      </w:tr>
      <w:tr>
        <w:tc>
          <w:tcPr>
            <w:tcW w:type="dxa" w:w="23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w:t>
            </w:r>
          </w:p>
        </w:tc>
        <w:tc>
          <w:tcPr>
            <w:tcW w:type="dxa" w:w="7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Business Unit</w:t>
            </w:r>
          </w:p>
        </w:tc>
      </w:tr>
      <w:tr>
        <w:tc>
          <w:tcPr>
            <w:tcW w:type="dxa" w:w="23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CAPEX</w:t>
            </w:r>
          </w:p>
        </w:tc>
        <w:tc>
          <w:tcPr>
            <w:tcW w:type="dxa" w:w="7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Capital Expenditure</w:t>
            </w:r>
          </w:p>
        </w:tc>
      </w:tr>
      <w:tr>
        <w:tc>
          <w:tcPr>
            <w:tcW w:type="dxa" w:w="23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CSW</w:t>
            </w:r>
          </w:p>
        </w:tc>
        <w:tc>
          <w:tcPr>
            <w:tcW w:type="dxa" w:w="7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Commercial Scope of Work</w:t>
            </w:r>
          </w:p>
        </w:tc>
      </w:tr>
      <w:tr>
        <w:tc>
          <w:tcPr>
            <w:tcW w:type="dxa" w:w="23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DOA</w:t>
            </w:r>
          </w:p>
        </w:tc>
        <w:tc>
          <w:tcPr>
            <w:tcW w:type="dxa" w:w="7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Delegation of Authority</w:t>
            </w:r>
          </w:p>
        </w:tc>
      </w:tr>
      <w:tr>
        <w:tc>
          <w:tcPr>
            <w:tcW w:type="dxa" w:w="23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GRN</w:t>
            </w:r>
          </w:p>
        </w:tc>
        <w:tc>
          <w:tcPr>
            <w:tcW w:type="dxa" w:w="7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Goods Received Note</w:t>
            </w:r>
          </w:p>
        </w:tc>
      </w:tr>
      <w:tr>
        <w:tc>
          <w:tcPr>
            <w:tcW w:type="dxa" w:w="23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GSC</w:t>
            </w:r>
          </w:p>
        </w:tc>
        <w:tc>
          <w:tcPr>
            <w:tcW w:type="dxa" w:w="7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Group Supply Chain</w:t>
            </w:r>
          </w:p>
        </w:tc>
      </w:tr>
      <w:tr>
        <w:tc>
          <w:tcPr>
            <w:tcW w:type="dxa" w:w="23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KPI</w:t>
            </w:r>
          </w:p>
        </w:tc>
        <w:tc>
          <w:tcPr>
            <w:tcW w:type="dxa" w:w="7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Key Performance Indicator</w:t>
            </w:r>
          </w:p>
        </w:tc>
      </w:tr>
      <w:tr>
        <w:tc>
          <w:tcPr>
            <w:tcW w:type="dxa" w:w="23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LOC</w:t>
            </w:r>
          </w:p>
        </w:tc>
        <w:tc>
          <w:tcPr>
            <w:tcW w:type="dxa" w:w="7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Letter of Compliance</w:t>
            </w:r>
          </w:p>
        </w:tc>
      </w:tr>
      <w:tr>
        <w:tc>
          <w:tcPr>
            <w:tcW w:type="dxa" w:w="23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LOI</w:t>
            </w:r>
          </w:p>
        </w:tc>
        <w:tc>
          <w:tcPr>
            <w:tcW w:type="dxa" w:w="7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Letter of Intent</w:t>
            </w:r>
          </w:p>
        </w:tc>
      </w:tr>
      <w:tr>
        <w:tc>
          <w:tcPr>
            <w:tcW w:type="dxa" w:w="23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OPEX</w:t>
            </w:r>
          </w:p>
        </w:tc>
        <w:tc>
          <w:tcPr>
            <w:tcW w:type="dxa" w:w="7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Operating Expenditure</w:t>
            </w:r>
          </w:p>
        </w:tc>
      </w:tr>
      <w:tr>
        <w:tc>
          <w:tcPr>
            <w:tcW w:type="dxa" w:w="23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OTIF</w:t>
            </w:r>
          </w:p>
        </w:tc>
        <w:tc>
          <w:tcPr>
            <w:tcW w:type="dxa" w:w="7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On-Time, In-Full</w:t>
            </w:r>
          </w:p>
        </w:tc>
      </w:tr>
      <w:tr>
        <w:tc>
          <w:tcPr>
            <w:tcW w:type="dxa" w:w="23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Oracle</w:t>
            </w:r>
          </w:p>
        </w:tc>
        <w:tc>
          <w:tcPr>
            <w:tcW w:type="dxa" w:w="7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Oracle ERP — Group Procure-to-Pay platform</w:t>
            </w:r>
          </w:p>
        </w:tc>
      </w:tr>
      <w:tr>
        <w:tc>
          <w:tcPr>
            <w:tcW w:type="dxa" w:w="23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PO</w:t>
            </w:r>
          </w:p>
        </w:tc>
        <w:tc>
          <w:tcPr>
            <w:tcW w:type="dxa" w:w="7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Purchase Order</w:t>
            </w:r>
          </w:p>
        </w:tc>
      </w:tr>
      <w:tr>
        <w:tc>
          <w:tcPr>
            <w:tcW w:type="dxa" w:w="23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PR</w:t>
            </w:r>
          </w:p>
        </w:tc>
        <w:tc>
          <w:tcPr>
            <w:tcW w:type="dxa" w:w="7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Purchase Requisition</w:t>
            </w:r>
          </w:p>
        </w:tc>
      </w:tr>
      <w:tr>
        <w:tc>
          <w:tcPr>
            <w:tcW w:type="dxa" w:w="23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QCS</w:t>
            </w:r>
          </w:p>
        </w:tc>
        <w:tc>
          <w:tcPr>
            <w:tcW w:type="dxa" w:w="7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Quotation Comparison Statement</w:t>
            </w:r>
          </w:p>
        </w:tc>
      </w:tr>
      <w:tr>
        <w:tc>
          <w:tcPr>
            <w:tcW w:type="dxa" w:w="23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RFQ</w:t>
            </w:r>
          </w:p>
        </w:tc>
        <w:tc>
          <w:tcPr>
            <w:tcW w:type="dxa" w:w="7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Request for Quotation</w:t>
            </w:r>
          </w:p>
        </w:tc>
      </w:tr>
      <w:tr>
        <w:tc>
          <w:tcPr>
            <w:tcW w:type="dxa" w:w="23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SLA</w:t>
            </w:r>
          </w:p>
        </w:tc>
        <w:tc>
          <w:tcPr>
            <w:tcW w:type="dxa" w:w="7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Service Level Agreement</w:t>
            </w:r>
          </w:p>
        </w:tc>
      </w:tr>
      <w:tr>
        <w:tc>
          <w:tcPr>
            <w:tcW w:type="dxa" w:w="23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SRM</w:t>
            </w:r>
          </w:p>
        </w:tc>
        <w:tc>
          <w:tcPr>
            <w:tcW w:type="dxa" w:w="7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Supplier Relationship Management</w:t>
            </w:r>
          </w:p>
        </w:tc>
      </w:tr>
      <w:tr>
        <w:tc>
          <w:tcPr>
            <w:tcW w:type="dxa" w:w="23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TCO</w:t>
            </w:r>
          </w:p>
        </w:tc>
        <w:tc>
          <w:tcPr>
            <w:tcW w:type="dxa" w:w="7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Total Cost of Ownership</w:t>
            </w:r>
          </w:p>
        </w:tc>
      </w:tr>
      <w:tr>
        <w:tc>
          <w:tcPr>
            <w:tcW w:type="dxa" w:w="23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TSW</w:t>
            </w:r>
          </w:p>
        </w:tc>
        <w:tc>
          <w:tcPr>
            <w:tcW w:type="dxa" w:w="7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Technical Scope of Work</w:t>
            </w:r>
          </w:p>
        </w:tc>
      </w:tr>
    </w:tbl>
    <w:p>
      <w:pPr>
        <w:pStyle w:val="Heading1"/>
        <w:pBdr>
          <w:bottom w:val="single" w:color="1F3864" w:sz="18" w:space="4"/>
        </w:pBdr>
        <w:spacing w:after="160" w:before="320"/>
      </w:pPr>
      <w:r>
        <w:rPr>
          <w:rFonts w:ascii="Calibri" w:cs="Calibri" w:eastAsia="Calibri" w:hAnsi="Calibri"/>
          <w:b/>
          <w:bCs/>
          <w:color w:val="1F3864"/>
          <w:sz w:val="30"/>
          <w:szCs w:val="30"/>
        </w:rPr>
        <w:t xml:space="preserve">8. Review &amp; Ownership</w:t>
      </w:r>
    </w:p>
    <w:p>
      <w:pPr>
        <w:spacing w:after="60" w:before="60" w:line="290"/>
        <w:jc w:val="both"/>
      </w:pPr>
      <w:r>
        <w:rPr>
          <w:rFonts w:ascii="Calibri" w:cs="Calibri" w:eastAsia="Calibri" w:hAnsi="Calibri"/>
          <w:color w:val="222222"/>
          <w:sz w:val="22"/>
          <w:szCs w:val="22"/>
        </w:rPr>
        <w:t xml:space="preserve">This policy is owned by the Group Head of Supply Chain and shall be reviewed at least annually, or whenever a material change in law, business structure or risk profile occurs. Proposed changes are endorsed by the Head of Supply Chain, reviewed by the CFO and Legal, and approved by the Group Vice Chairman &amp; CEO.</w:t>
      </w:r>
    </w:p>
    <w:sectPr>
      <w:headerReference w:type="default" r:id="rId7"/>
      <w:footerReference w:type="default" r:id="rId8"/>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1F3864" w:sz="6" w:space="4"/>
      </w:pBdr>
      <w:tabs>
        <w:tab w:val="right" w:pos="9026"/>
      </w:tabs>
    </w:pPr>
    <w:r>
      <w:rPr>
        <w:rFonts w:ascii="Calibri" w:cs="Calibri" w:eastAsia="Calibri" w:hAnsi="Calibri"/>
        <w:color w:val="1F3864"/>
        <w:sz w:val="18"/>
        <w:szCs w:val="18"/>
      </w:rPr>
      <w:t xml:space="preserve">P-POL-001  |  Effective: 08 April 2026</w:t>
    </w:r>
    <w:r>
      <w:rPr>
        <w:rFonts w:ascii="Calibri" w:cs="Calibri" w:eastAsia="Calibri" w:hAnsi="Calibri"/>
        <w:color w:val="6B7280"/>
        <w:sz w:val="18"/>
        <w:szCs w:val="18"/>
      </w:rPr>
      <w:t xml:space="preserve">	Page </w:t>
    </w:r>
    <w:r>
      <w:rPr>
        <w:rFonts w:ascii="Calibri" w:cs="Calibri" w:eastAsia="Calibri" w:hAnsi="Calibri"/>
        <w:color w:val="6B7280"/>
        <w:sz w:val="18"/>
        <w:szCs w:val="18"/>
      </w:rPr>
      <w:fldChar w:fldCharType="begin"/>
      <w:instrText xml:space="preserve">PAGE</w:instrText>
      <w:fldChar w:fldCharType="separate"/>
      <w:fldChar w:fldCharType="end"/>
    </w:r>
    <w:r>
      <w:rPr>
        <w:rFonts w:ascii="Calibri" w:cs="Calibri" w:eastAsia="Calibri" w:hAnsi="Calibri"/>
        <w:color w:val="6B7280"/>
        <w:sz w:val="18"/>
        <w:szCs w:val="18"/>
      </w:rPr>
      <w:t xml:space="preserve"> of </w:t>
    </w:r>
    <w:r>
      <w:rPr>
        <w:rFonts w:ascii="Calibri" w:cs="Calibri" w:eastAsia="Calibri" w:hAnsi="Calibri"/>
        <w:color w:val="6B7280"/>
        <w:sz w:val="18"/>
        <w:szCs w:val="18"/>
      </w:rPr>
      <w:fldChar w:fldCharType="begin"/>
      <w:instrText xml:space="preserve">NUMPAGES</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tbl>
    <w:tblPr>
      <w:tblW w:type="dxa" w:w="9360"/>
      <w:tblBorders>
        <w:top w:val="none"/>
        <w:left w:val="none"/>
        <w:bottom w:val="single" w:color="1F3864" w:sz="6"/>
        <w:right w:val="none"/>
        <w:insideH w:val="none"/>
        <w:insideV w:val="none"/>
      </w:tblBorders>
    </w:tblPr>
    <w:tblGrid>
      <w:gridCol w:w="4200"/>
      <w:gridCol w:w="3000"/>
      <w:gridCol w:w="2160"/>
    </w:tblGrid>
    <w:tr>
      <w:tc>
        <w:tcPr>
          <w:tcW w:type="dxa" w:w="4200"/>
          <w:tcBorders>
            <w:top w:val="none"/>
            <w:left w:val="none"/>
            <w:bottom w:val="single" w:color="1F3864" w:sz="6"/>
            <w:right w:val="none"/>
          </w:tcBorders>
        </w:tcPr>
        <w:p>
          <w:r>
            <w:rPr>
              <w:rFonts w:ascii="Calibri" w:cs="Calibri" w:eastAsia="Calibri" w:hAnsi="Calibri"/>
              <w:b/>
              <w:bCs/>
              <w:color w:val="1F3864"/>
              <w:sz w:val="18"/>
              <w:szCs w:val="18"/>
            </w:rPr>
            <w:t xml:space="preserve">Bukhatir Group | Group Supply Chain</w:t>
          </w:r>
        </w:p>
      </w:tc>
      <w:tc>
        <w:tcPr>
          <w:tcW w:type="dxa" w:w="3000"/>
          <w:tcBorders>
            <w:top w:val="none"/>
            <w:left w:val="none"/>
            <w:bottom w:val="single" w:color="1F3864" w:sz="6"/>
            <w:right w:val="none"/>
          </w:tcBorders>
        </w:tcPr>
        <w:p>
          <w:pPr>
            <w:jc w:val="center"/>
          </w:pPr>
          <w:r>
            <w:rPr>
              <w:rFonts w:ascii="Calibri" w:cs="Calibri" w:eastAsia="Calibri" w:hAnsi="Calibri"/>
              <w:b/>
              <w:bCs/>
              <w:color w:val="2E75B6"/>
              <w:sz w:val="18"/>
              <w:szCs w:val="18"/>
            </w:rPr>
            <w:t xml:space="preserve">Introduction</w:t>
          </w:r>
        </w:p>
      </w:tc>
      <w:tc>
        <w:tcPr>
          <w:tcW w:type="dxa" w:w="2160"/>
          <w:tcBorders>
            <w:top w:val="none"/>
            <w:left w:val="none"/>
            <w:bottom w:val="single" w:color="1F3864" w:sz="6"/>
            <w:right w:val="none"/>
          </w:tcBorders>
        </w:tcPr>
        <w:p>
          <w:pPr>
            <w:jc w:val="right"/>
          </w:pPr>
          <w:r>
            <w:rPr>
              <w:rFonts w:ascii="Calibri" w:cs="Calibri" w:eastAsia="Calibri" w:hAnsi="Calibri"/>
              <w:color w:val="6B7280"/>
              <w:sz w:val="18"/>
              <w:szCs w:val="18"/>
            </w:rPr>
            <w:t xml:space="preserve">Ver 0.4 | 08 APR 2026</w:t>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540" w:hanging="270"/>
      </w:pPr>
    </w:lvl>
  </w:abstractNum>
  <w:abstractNum w:abstractNumId="3" w15:restartNumberingAfterBreak="0">
    <w:multiLevelType w:val="hybridMultilevel"/>
    <w:lvl w:ilvl="0" w15:tentative="1">
      <w:start w:val="1"/>
      <w:numFmt w:val="decimal"/>
      <w:lvlText w:val="%1."/>
      <w:lvlJc w:val="left"/>
      <w:pPr>
        <w:ind w:left="540" w:hanging="360"/>
      </w:pPr>
    </w:lvl>
  </w:abstractNum>
  <w:num w:numId="1">
    <w:abstractNumId w:val="1"/>
    <w:lvlOverride w:ilvl="0">
      <w:startOverride w:val="1"/>
    </w:lvlOverride>
  </w:num>
  <w:num w:numId="2">
    <w:abstractNumId w:val="2"/>
    <w:lvlOverride w:ilvl="0">
      <w:startOverride w:val="1"/>
    </w:lvlOverride>
  </w:num>
  <w:num w:numId="3">
    <w:abstractNumId w:val="3"/>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cs="Calibri" w:eastAsia="Calibri" w:hAnsi="Calibri"/>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60" w:before="320"/>
      <w:outlineLvl w:val="0"/>
    </w:pPr>
    <w:rPr>
      <w:rFonts w:ascii="Calibri" w:cs="Calibri" w:eastAsia="Calibri" w:hAnsi="Calibri"/>
      <w:b/>
      <w:bCs/>
      <w:color w:val="1F3864"/>
      <w:sz w:val="32"/>
      <w:szCs w:val="32"/>
    </w:rPr>
  </w:style>
  <w:style w:type="paragraph" w:styleId="Heading2">
    <w:name w:val="Heading 2"/>
    <w:basedOn w:val="Normal"/>
    <w:next w:val="Normal"/>
    <w:qFormat/>
    <w:pPr>
      <w:spacing w:after="100" w:before="220"/>
      <w:outlineLvl w:val="1"/>
    </w:pPr>
    <w:rPr>
      <w:rFonts w:ascii="Calibri" w:cs="Calibri" w:eastAsia="Calibri" w:hAnsi="Calibri"/>
      <w:b/>
      <w:bCs/>
      <w:color w:val="2E75B6"/>
      <w:sz w:val="28"/>
      <w:szCs w:val="28"/>
    </w:rPr>
  </w:style>
  <w:style w:type="paragraph" w:styleId="Heading3">
    <w:name w:val="Heading 3"/>
    <w:basedOn w:val="Normal"/>
    <w:next w:val="Normal"/>
    <w:qFormat/>
    <w:pPr>
      <w:spacing w:after="80" w:before="160"/>
      <w:outlineLvl w:val="2"/>
    </w:pPr>
    <w:rPr>
      <w:rFonts w:ascii="Calibri" w:cs="Calibri" w:eastAsia="Calibri" w:hAnsi="Calibri"/>
      <w:b/>
      <w:bCs/>
      <w:color w:val="1F3864"/>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Introduction - P-POL-001</dc:title>
  <dc:creator>Bukhatir Group - Group Supply Chain</dc:creator>
  <cp:lastModifiedBy>Un-named</cp:lastModifiedBy>
  <cp:revision>1</cp:revision>
  <dcterms:created xsi:type="dcterms:W3CDTF">2026-04-13T04:45:55.412Z</dcterms:created>
  <dcterms:modified xsi:type="dcterms:W3CDTF">2026-04-13T04:45:55.412Z</dcterms:modified>
</cp:coreProperties>
</file>

<file path=docProps/custom.xml><?xml version="1.0" encoding="utf-8"?>
<Properties xmlns="http://schemas.openxmlformats.org/officeDocument/2006/custom-properties" xmlns:vt="http://schemas.openxmlformats.org/officeDocument/2006/docPropsVTypes"/>
</file>