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0b3b66"/>
          <w:sz w:val="28"/>
          <w:szCs w:val="28"/>
        </w:rPr>
        <w:t xml:space="preserve">BUKHATIR GROUP</w:t>
      </w:r>
    </w:p>
    <w:p>
      <w:pPr>
        <w:spacing w:after="300"/>
        <w:jc w:val="center"/>
      </w:pPr>
      <w:r>
        <w:rPr>
          <w:rFonts w:ascii="Arial" w:cs="Arial" w:eastAsia="Arial" w:hAnsi="Arial"/>
          <w:b/>
          <w:bCs/>
          <w:color w:val="b98a2e"/>
          <w:sz w:val="24"/>
          <w:szCs w:val="24"/>
        </w:rPr>
        <w:t xml:space="preserve">Inventory Corrective Action Plan</w:t>
      </w:r>
    </w:p>
    <w:p>
      <w:pPr>
        <w:spacing w:after="10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Form Reference: F-INV-ADJ-02</w:t>
      </w:r>
    </w:p>
    <w:p>
      <w:pPr>
        <w:spacing w:after="20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Complete all fields. Attach supporting documents where indicated.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0b3b6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0b3b6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Details</w:t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BU / Site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Reference Discrepancy Report(s)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Root Cause Summary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Corrective Action Description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Responsible Person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Target Completion Date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Preventive Measures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Monitoring Method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Review Frequency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Weekly / Monthly / Quarterly</w:t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Status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Open / In Progress / Closed</w:t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Verified By (Group Procurement)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Verification Date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0b3b6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0b3b6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0b3b6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Signature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0b3b6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Prepared by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Mohamad Koussa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08 Apr 2026</w:t>
            </w:r>
          </w:p>
        </w:tc>
      </w:tr>
      <w:tr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Reviewed by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Mohamad Adnaan Sait (CFO)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08 Apr 2026</w:t>
            </w:r>
          </w:p>
        </w:tc>
      </w:tr>
      <w:tr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Approved by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6"/>
        <w:szCs w:val="16"/>
      </w:rPr>
      <w:t xml:space="preserve">Bukhatir Group — Internal Use Only — Page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color w:val="888888"/>
        <w:sz w:val="16"/>
        <w:szCs w:val="16"/>
      </w:rPr>
      <w:t xml:space="preserve">F-INV-ADJ-02 | Ver 0.4 | 08 APR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2026-04-17T11:05:03.340Z</dcterms:created>
  <dcterms:modified xsi:type="dcterms:W3CDTF">2026-04-17T11:05:03.340Z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