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  <Override ContentType="application/vnd.openxmlformats-officedocument.wordprocessingml.footer+xml" PartName="/word/footer1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400"/>
        <w:gridCol w:w="4000"/>
        <w:gridCol w:w="2960"/>
      </w:tblGrid>
      <w:tr>
        <w:tc>
          <w:tcPr>
            <w:tcW w:type="dxa" w:w="2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Bukhatir Group</w:t>
            </w:r>
          </w:p>
        </w:tc>
        <w:tc>
          <w:tcPr>
            <w:tcW w:type="dxa" w:w="40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2E75B6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Standard PO Terms &amp; Conditions</w:t>
            </w:r>
          </w:p>
        </w:tc>
        <w:tc>
          <w:tcPr>
            <w:tcW w:type="dxa" w:w="29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T-PO-TC</w:t>
            </w:r>
          </w:p>
        </w:tc>
      </w:tr>
      <w:tr>
        <w:tc>
          <w:tcPr>
            <w:tcW w:type="dxa" w:w="2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D9E2F3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Group Supply Chain</w:t>
            </w:r>
          </w:p>
        </w:tc>
        <w:tc>
          <w:tcPr>
            <w:tcW w:type="dxa" w:w="40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 w:val="false"/>
                <w:bCs w:val="false"/>
                <w:color w:val="222222"/>
                <w:sz w:val="20"/>
                <w:szCs w:val="20"/>
              </w:rPr>
              <w:t xml:space="preserve">Reference: P-POL-014</w:t>
            </w:r>
          </w:p>
        </w:tc>
        <w:tc>
          <w:tcPr>
            <w:tcW w:type="dxa" w:w="29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 w:val="false"/>
                <w:bCs w:val="false"/>
                <w:color w:val="222222"/>
                <w:sz w:val="20"/>
                <w:szCs w:val="20"/>
              </w:rPr>
              <w:t xml:space="preserve">Ver 0.4 | 08 APR 2026</w:t>
            </w:r>
          </w:p>
        </w:tc>
      </w:tr>
    </w:tbl>
    <w:p>
      <w:pPr>
        <w:spacing w:after="200" w:before="200"/>
      </w:pPr>
      <w:r>
        <w:t xml:space="preserve"/>
      </w:r>
    </w:p>
    <w:p>
      <w:pPr>
        <w:spacing w:after="120" w:before="240"/>
      </w:pPr>
      <w:r>
        <w:rPr>
          <w:rFonts w:ascii="Calibri" w:cs="Calibri" w:eastAsia="Calibri" w:hAnsi="Calibri"/>
          <w:b/>
          <w:bCs/>
          <w:color w:val="1F3864"/>
          <w:sz w:val="26"/>
          <w:szCs w:val="26"/>
        </w:rPr>
        <w:t xml:space="preserve">Standard Purchase Order Terms &amp; Conditions</w:t>
      </w:r>
    </w:p>
    <w:p>
      <w:pPr>
        <w:spacing w:after="60" w:before="60"/>
      </w:pPr>
      <w:r>
        <w:rPr>
          <w:rFonts w:ascii="Calibri" w:cs="Calibri" w:eastAsia="Calibri" w:hAnsi="Calibri"/>
          <w:color w:val="333333"/>
          <w:sz w:val="20"/>
          <w:szCs w:val="20"/>
        </w:rPr>
        <w:t xml:space="preserve">These Standard Terms and Conditions are auto-applied in Oracle when a Purchase Order is raised. This document serves as the reference version maintained by Legal.</w:t>
      </w:r>
    </w:p>
    <w:p>
      <w:pPr>
        <w:spacing w:after="120" w:before="120"/>
      </w:pPr>
      <w:r>
        <w:t xml:space="preserve"/>
      </w:r>
    </w:p>
    <w:p>
      <w:pPr>
        <w:spacing w:after="80" w:before="160"/>
      </w:pPr>
      <w:r>
        <w:rPr>
          <w:rFonts w:ascii="Calibri" w:cs="Calibri" w:eastAsia="Calibri" w:hAnsi="Calibri"/>
          <w:b/>
          <w:bCs/>
          <w:color w:val="2E75B6"/>
          <w:sz w:val="22"/>
          <w:szCs w:val="22"/>
        </w:rPr>
        <w:t xml:space="preserve">1. Definitions &amp; Interpretation</w:t>
      </w:r>
    </w:p>
    <w:p>
      <w:pPr>
        <w:spacing w:after="60" w:before="60"/>
      </w:pPr>
      <w:r>
        <w:rPr>
          <w:rFonts w:ascii="Calibri" w:cs="Calibri" w:eastAsia="Calibri" w:hAnsi="Calibri"/>
          <w:color w:val="333333"/>
          <w:sz w:val="20"/>
          <w:szCs w:val="20"/>
        </w:rPr>
        <w:t xml:space="preserve">[To be completed by Legal]</w:t>
      </w:r>
    </w:p>
    <w:p>
      <w:pPr>
        <w:spacing w:after="80" w:before="160"/>
      </w:pPr>
      <w:r>
        <w:rPr>
          <w:rFonts w:ascii="Calibri" w:cs="Calibri" w:eastAsia="Calibri" w:hAnsi="Calibri"/>
          <w:b/>
          <w:bCs/>
          <w:color w:val="2E75B6"/>
          <w:sz w:val="22"/>
          <w:szCs w:val="22"/>
        </w:rPr>
        <w:t xml:space="preserve">2. Order Acceptance</w:t>
      </w:r>
    </w:p>
    <w:p>
      <w:pPr>
        <w:spacing w:after="60" w:before="60"/>
      </w:pPr>
      <w:r>
        <w:rPr>
          <w:rFonts w:ascii="Calibri" w:cs="Calibri" w:eastAsia="Calibri" w:hAnsi="Calibri"/>
          <w:color w:val="333333"/>
          <w:sz w:val="20"/>
          <w:szCs w:val="20"/>
        </w:rPr>
        <w:t xml:space="preserve">[To be completed by Legal]</w:t>
      </w:r>
    </w:p>
    <w:p>
      <w:pPr>
        <w:spacing w:after="80" w:before="160"/>
      </w:pPr>
      <w:r>
        <w:rPr>
          <w:rFonts w:ascii="Calibri" w:cs="Calibri" w:eastAsia="Calibri" w:hAnsi="Calibri"/>
          <w:b/>
          <w:bCs/>
          <w:color w:val="2E75B6"/>
          <w:sz w:val="22"/>
          <w:szCs w:val="22"/>
        </w:rPr>
        <w:t xml:space="preserve">3. Price &amp; Payment Terms</w:t>
      </w:r>
    </w:p>
    <w:p>
      <w:pPr>
        <w:spacing w:after="60" w:before="60"/>
      </w:pPr>
      <w:r>
        <w:rPr>
          <w:rFonts w:ascii="Calibri" w:cs="Calibri" w:eastAsia="Calibri" w:hAnsi="Calibri"/>
          <w:color w:val="333333"/>
          <w:sz w:val="20"/>
          <w:szCs w:val="20"/>
        </w:rPr>
        <w:t xml:space="preserve">[To be completed by Legal]</w:t>
      </w:r>
    </w:p>
    <w:p>
      <w:pPr>
        <w:spacing w:after="80" w:before="160"/>
      </w:pPr>
      <w:r>
        <w:rPr>
          <w:rFonts w:ascii="Calibri" w:cs="Calibri" w:eastAsia="Calibri" w:hAnsi="Calibri"/>
          <w:b/>
          <w:bCs/>
          <w:color w:val="2E75B6"/>
          <w:sz w:val="22"/>
          <w:szCs w:val="22"/>
        </w:rPr>
        <w:t xml:space="preserve">4. Delivery</w:t>
      </w:r>
    </w:p>
    <w:p>
      <w:pPr>
        <w:spacing w:after="60" w:before="60"/>
      </w:pPr>
      <w:r>
        <w:rPr>
          <w:rFonts w:ascii="Calibri" w:cs="Calibri" w:eastAsia="Calibri" w:hAnsi="Calibri"/>
          <w:color w:val="333333"/>
          <w:sz w:val="20"/>
          <w:szCs w:val="20"/>
        </w:rPr>
        <w:t xml:space="preserve">[To be completed by Legal]</w:t>
      </w:r>
    </w:p>
    <w:p>
      <w:pPr>
        <w:spacing w:after="80" w:before="160"/>
      </w:pPr>
      <w:r>
        <w:rPr>
          <w:rFonts w:ascii="Calibri" w:cs="Calibri" w:eastAsia="Calibri" w:hAnsi="Calibri"/>
          <w:b/>
          <w:bCs/>
          <w:color w:val="2E75B6"/>
          <w:sz w:val="22"/>
          <w:szCs w:val="22"/>
        </w:rPr>
        <w:t xml:space="preserve">5. Quality &amp; Inspection</w:t>
      </w:r>
    </w:p>
    <w:p>
      <w:pPr>
        <w:spacing w:after="60" w:before="60"/>
      </w:pPr>
      <w:r>
        <w:rPr>
          <w:rFonts w:ascii="Calibri" w:cs="Calibri" w:eastAsia="Calibri" w:hAnsi="Calibri"/>
          <w:color w:val="333333"/>
          <w:sz w:val="20"/>
          <w:szCs w:val="20"/>
        </w:rPr>
        <w:t xml:space="preserve">[To be completed by Legal]</w:t>
      </w:r>
    </w:p>
    <w:p>
      <w:pPr>
        <w:spacing w:after="80" w:before="160"/>
      </w:pPr>
      <w:r>
        <w:rPr>
          <w:rFonts w:ascii="Calibri" w:cs="Calibri" w:eastAsia="Calibri" w:hAnsi="Calibri"/>
          <w:b/>
          <w:bCs/>
          <w:color w:val="2E75B6"/>
          <w:sz w:val="22"/>
          <w:szCs w:val="22"/>
        </w:rPr>
        <w:t xml:space="preserve">6. Warranties</w:t>
      </w:r>
    </w:p>
    <w:p>
      <w:pPr>
        <w:spacing w:after="60" w:before="60"/>
      </w:pPr>
      <w:r>
        <w:rPr>
          <w:rFonts w:ascii="Calibri" w:cs="Calibri" w:eastAsia="Calibri" w:hAnsi="Calibri"/>
          <w:color w:val="333333"/>
          <w:sz w:val="20"/>
          <w:szCs w:val="20"/>
        </w:rPr>
        <w:t xml:space="preserve">[To be completed by Legal]</w:t>
      </w:r>
    </w:p>
    <w:p>
      <w:pPr>
        <w:spacing w:after="80" w:before="160"/>
      </w:pPr>
      <w:r>
        <w:rPr>
          <w:rFonts w:ascii="Calibri" w:cs="Calibri" w:eastAsia="Calibri" w:hAnsi="Calibri"/>
          <w:b/>
          <w:bCs/>
          <w:color w:val="2E75B6"/>
          <w:sz w:val="22"/>
          <w:szCs w:val="22"/>
        </w:rPr>
        <w:t xml:space="preserve">7. Limitation of Liability</w:t>
      </w:r>
    </w:p>
    <w:p>
      <w:pPr>
        <w:spacing w:after="60" w:before="60"/>
      </w:pPr>
      <w:r>
        <w:rPr>
          <w:rFonts w:ascii="Calibri" w:cs="Calibri" w:eastAsia="Calibri" w:hAnsi="Calibri"/>
          <w:color w:val="333333"/>
          <w:sz w:val="20"/>
          <w:szCs w:val="20"/>
        </w:rPr>
        <w:t xml:space="preserve">[To be completed by Legal]</w:t>
      </w:r>
    </w:p>
    <w:p>
      <w:pPr>
        <w:spacing w:after="80" w:before="160"/>
      </w:pPr>
      <w:r>
        <w:rPr>
          <w:rFonts w:ascii="Calibri" w:cs="Calibri" w:eastAsia="Calibri" w:hAnsi="Calibri"/>
          <w:b/>
          <w:bCs/>
          <w:color w:val="2E75B6"/>
          <w:sz w:val="22"/>
          <w:szCs w:val="22"/>
        </w:rPr>
        <w:t xml:space="preserve">8. Confidentiality</w:t>
      </w:r>
    </w:p>
    <w:p>
      <w:pPr>
        <w:spacing w:after="60" w:before="60"/>
      </w:pPr>
      <w:r>
        <w:rPr>
          <w:rFonts w:ascii="Calibri" w:cs="Calibri" w:eastAsia="Calibri" w:hAnsi="Calibri"/>
          <w:color w:val="333333"/>
          <w:sz w:val="20"/>
          <w:szCs w:val="20"/>
        </w:rPr>
        <w:t xml:space="preserve">[To be completed by Legal]</w:t>
      </w:r>
    </w:p>
    <w:p>
      <w:pPr>
        <w:spacing w:after="80" w:before="160"/>
      </w:pPr>
      <w:r>
        <w:rPr>
          <w:rFonts w:ascii="Calibri" w:cs="Calibri" w:eastAsia="Calibri" w:hAnsi="Calibri"/>
          <w:b/>
          <w:bCs/>
          <w:color w:val="2E75B6"/>
          <w:sz w:val="22"/>
          <w:szCs w:val="22"/>
        </w:rPr>
        <w:t xml:space="preserve">9. Anti-Bribery &amp; Anti-Corruption</w:t>
      </w:r>
    </w:p>
    <w:p>
      <w:pPr>
        <w:spacing w:after="60" w:before="60"/>
      </w:pPr>
      <w:r>
        <w:rPr>
          <w:rFonts w:ascii="Calibri" w:cs="Calibri" w:eastAsia="Calibri" w:hAnsi="Calibri"/>
          <w:color w:val="333333"/>
          <w:sz w:val="20"/>
          <w:szCs w:val="20"/>
        </w:rPr>
        <w:t xml:space="preserve">[To be completed by Legal]</w:t>
      </w:r>
    </w:p>
    <w:p>
      <w:pPr>
        <w:spacing w:after="80" w:before="160"/>
      </w:pPr>
      <w:r>
        <w:rPr>
          <w:rFonts w:ascii="Calibri" w:cs="Calibri" w:eastAsia="Calibri" w:hAnsi="Calibri"/>
          <w:b/>
          <w:bCs/>
          <w:color w:val="2E75B6"/>
          <w:sz w:val="22"/>
          <w:szCs w:val="22"/>
        </w:rPr>
        <w:t xml:space="preserve">10. Data Protection (UAE PDPL)</w:t>
      </w:r>
    </w:p>
    <w:p>
      <w:pPr>
        <w:spacing w:after="60" w:before="60"/>
      </w:pPr>
      <w:r>
        <w:rPr>
          <w:rFonts w:ascii="Calibri" w:cs="Calibri" w:eastAsia="Calibri" w:hAnsi="Calibri"/>
          <w:color w:val="333333"/>
          <w:sz w:val="20"/>
          <w:szCs w:val="20"/>
        </w:rPr>
        <w:t xml:space="preserve">[To be completed by Legal]</w:t>
      </w:r>
    </w:p>
    <w:p>
      <w:pPr>
        <w:spacing w:after="80" w:before="160"/>
      </w:pPr>
      <w:r>
        <w:rPr>
          <w:rFonts w:ascii="Calibri" w:cs="Calibri" w:eastAsia="Calibri" w:hAnsi="Calibri"/>
          <w:b/>
          <w:bCs/>
          <w:color w:val="2E75B6"/>
          <w:sz w:val="22"/>
          <w:szCs w:val="22"/>
        </w:rPr>
        <w:t xml:space="preserve">11. Sub-contracting</w:t>
      </w:r>
    </w:p>
    <w:p>
      <w:pPr>
        <w:spacing w:after="60" w:before="60"/>
      </w:pPr>
      <w:r>
        <w:rPr>
          <w:rFonts w:ascii="Calibri" w:cs="Calibri" w:eastAsia="Calibri" w:hAnsi="Calibri"/>
          <w:color w:val="333333"/>
          <w:sz w:val="20"/>
          <w:szCs w:val="20"/>
        </w:rPr>
        <w:t xml:space="preserve">[To be completed by Legal]</w:t>
      </w:r>
    </w:p>
    <w:p>
      <w:pPr>
        <w:spacing w:after="80" w:before="160"/>
      </w:pPr>
      <w:r>
        <w:rPr>
          <w:rFonts w:ascii="Calibri" w:cs="Calibri" w:eastAsia="Calibri" w:hAnsi="Calibri"/>
          <w:b/>
          <w:bCs/>
          <w:color w:val="2E75B6"/>
          <w:sz w:val="22"/>
          <w:szCs w:val="22"/>
        </w:rPr>
        <w:t xml:space="preserve">12. Force Majeure</w:t>
      </w:r>
    </w:p>
    <w:p>
      <w:pPr>
        <w:spacing w:after="60" w:before="60"/>
      </w:pPr>
      <w:r>
        <w:rPr>
          <w:rFonts w:ascii="Calibri" w:cs="Calibri" w:eastAsia="Calibri" w:hAnsi="Calibri"/>
          <w:color w:val="333333"/>
          <w:sz w:val="20"/>
          <w:szCs w:val="20"/>
        </w:rPr>
        <w:t xml:space="preserve">[To be completed by Legal]</w:t>
      </w:r>
    </w:p>
    <w:p>
      <w:pPr>
        <w:spacing w:after="80" w:before="160"/>
      </w:pPr>
      <w:r>
        <w:rPr>
          <w:rFonts w:ascii="Calibri" w:cs="Calibri" w:eastAsia="Calibri" w:hAnsi="Calibri"/>
          <w:b/>
          <w:bCs/>
          <w:color w:val="2E75B6"/>
          <w:sz w:val="22"/>
          <w:szCs w:val="22"/>
        </w:rPr>
        <w:t xml:space="preserve">13. Audit Rights</w:t>
      </w:r>
    </w:p>
    <w:p>
      <w:pPr>
        <w:spacing w:after="60" w:before="60"/>
      </w:pPr>
      <w:r>
        <w:rPr>
          <w:rFonts w:ascii="Calibri" w:cs="Calibri" w:eastAsia="Calibri" w:hAnsi="Calibri"/>
          <w:color w:val="333333"/>
          <w:sz w:val="20"/>
          <w:szCs w:val="20"/>
        </w:rPr>
        <w:t xml:space="preserve">[To be completed by Legal]</w:t>
      </w:r>
    </w:p>
    <w:p>
      <w:pPr>
        <w:spacing w:after="80" w:before="160"/>
      </w:pPr>
      <w:r>
        <w:rPr>
          <w:rFonts w:ascii="Calibri" w:cs="Calibri" w:eastAsia="Calibri" w:hAnsi="Calibri"/>
          <w:b/>
          <w:bCs/>
          <w:color w:val="2E75B6"/>
          <w:sz w:val="22"/>
          <w:szCs w:val="22"/>
        </w:rPr>
        <w:t xml:space="preserve">14. Termination</w:t>
      </w:r>
    </w:p>
    <w:p>
      <w:pPr>
        <w:spacing w:after="60" w:before="60"/>
      </w:pPr>
      <w:r>
        <w:rPr>
          <w:rFonts w:ascii="Calibri" w:cs="Calibri" w:eastAsia="Calibri" w:hAnsi="Calibri"/>
          <w:color w:val="333333"/>
          <w:sz w:val="20"/>
          <w:szCs w:val="20"/>
        </w:rPr>
        <w:t xml:space="preserve">[To be completed by Legal]</w:t>
      </w:r>
    </w:p>
    <w:p>
      <w:pPr>
        <w:spacing w:after="80" w:before="160"/>
      </w:pPr>
      <w:r>
        <w:rPr>
          <w:rFonts w:ascii="Calibri" w:cs="Calibri" w:eastAsia="Calibri" w:hAnsi="Calibri"/>
          <w:b/>
          <w:bCs/>
          <w:color w:val="2E75B6"/>
          <w:sz w:val="22"/>
          <w:szCs w:val="22"/>
        </w:rPr>
        <w:t xml:space="preserve">15. Governing Law &amp; Jurisdiction</w:t>
      </w:r>
    </w:p>
    <w:p>
      <w:pPr>
        <w:spacing w:after="60" w:before="60"/>
      </w:pPr>
      <w:r>
        <w:rPr>
          <w:rFonts w:ascii="Calibri" w:cs="Calibri" w:eastAsia="Calibri" w:hAnsi="Calibri"/>
          <w:color w:val="333333"/>
          <w:sz w:val="20"/>
          <w:szCs w:val="20"/>
        </w:rPr>
        <w:t xml:space="preserve">[To be completed by Legal]</w:t>
      </w:r>
    </w:p>
    <w:sectPr>
      <w:footerReference w:type="default" r:id="rId7"/>
      <w:pgSz w:w="12240" w:h="15840" w:orient="portrait"/>
      <w:pgMar w:top="1260" w:right="1260" w:bottom="1260" w:left="126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p>
    <w:pPr>
      <w:pBdr>
        <w:top w:val="single" w:color="1F3864" w:sz="6" w:space="4"/>
      </w:pBdr>
      <w:tabs>
        <w:tab w:val="right" w:pos="9026"/>
      </w:tabs>
    </w:pPr>
    <w:r>
      <w:rPr>
        <w:rFonts w:ascii="Calibri" w:cs="Calibri" w:eastAsia="Calibri" w:hAnsi="Calibri"/>
        <w:color w:val="1F3864"/>
        <w:sz w:val="16"/>
        <w:szCs w:val="16"/>
      </w:rPr>
      <w:t xml:space="preserve">T-PO-TC | Ref: P-POL-014</w:t>
    </w:r>
    <w:r>
      <w:rPr>
        <w:rFonts w:ascii="Calibri" w:cs="Calibri" w:eastAsia="Calibri" w:hAnsi="Calibri"/>
        <w:color w:val="6B7280"/>
        <w:sz w:val="16"/>
        <w:szCs w:val="16"/>
      </w:rPr>
      <w:t xml:space="preserve">	Page </w:t>
    </w:r>
    <w:r>
      <w:rPr>
        <w:rFonts w:ascii="Calibri" w:cs="Calibri" w:eastAsia="Calibri" w:hAnsi="Calibri"/>
        <w:color w:val="6B7280"/>
        <w:sz w:val="16"/>
        <w:szCs w:val="16"/>
      </w:rPr>
      <w:fldChar w:fldCharType="begin"/>
      <w:instrText xml:space="preserve">PAGE</w:instrText>
      <w:fldChar w:fldCharType="separate"/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abstractNum w:abstractNumId="2" w15:restartNumberingAfterBreak="0">
    <w:multiLevelType w:val="hybridMultilevel"/>
    <w:lvl w:ilvl="0" w15:tentative="1">
      <w:start w:val="1"/>
      <w:numFmt w:val="bullet"/>
      <w:lvlText w:val="•"/>
      <w:lvlJc w:val="left"/>
      <w:pPr>
        <w:ind w:left="540" w:hanging="27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cs="Calibri" w:eastAsia="Calibri" w:hAnsi="Calibri"/>
        <w:sz w:val="20"/>
        <w:szCs w:val="20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footer" Target="footer1.xml"/><Relationship Id="rId8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er1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T-PO-TC - Standard PO Terms &amp; Conditions</dc:title>
  <dc:creator>Bukhatir Group - GSC</dc:creator>
  <cp:lastModifiedBy>Un-named</cp:lastModifiedBy>
  <cp:revision>1</cp:revision>
  <dcterms:created xsi:type="dcterms:W3CDTF">2026-04-09T13:51:50.302Z</dcterms:created>
  <dcterms:modified xsi:type="dcterms:W3CDTF">2026-04-09T13:51:50.302Z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